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3</w:t>
      </w:r>
    </w:p>
    <w:p>
      <w:pPr>
        <w:spacing w:after="300"/>
      </w:pPr>
      <w:r>
        <w:rPr>
          <w:rFonts w:ascii="Calibri" w:cs="Calibri" w:eastAsia="Calibri" w:hAnsi="Calibri"/>
          <w:b/>
          <w:bCs/>
          <w:color w:val="14213D"/>
          <w:sz w:val="32"/>
          <w:szCs w:val="32"/>
        </w:rPr>
        <w:t xml:space="preserve">Docentenhandleiding — BPMN basis I: de descriptive subclass</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eerste modelleerdeel. Twee dingen moeten hier tegelijk landen: de elementen van de descriptive subclass, én het eerste contact met Conductus. Onderschat het tweede niet — een deelnemer die worstelt met inloggen of exporteren, leert niets over gateways in diezelfde tien minuten.</w:t>
      </w:r>
    </w:p>
    <w:p>
      <w:pPr>
        <w:spacing w:after="160" w:line="300"/>
        <w:jc w:val="left"/>
      </w:pPr>
      <w:r>
        <w:rPr>
          <w:rFonts w:ascii="Calibri" w:cs="Calibri" w:eastAsia="Calibri" w:hAnsi="Calibri"/>
          <w:b w:val="false"/>
          <w:bCs w:val="false"/>
          <w:i w:val="false"/>
          <w:iCs w:val="false"/>
          <w:color w:val="1A1A1A"/>
          <w:sz w:val="21"/>
          <w:szCs w:val="21"/>
        </w:rPr>
        <w:t xml:space="preserve">Kernboodschap van het deel: een correct BPMN-model is niet "een tekening die klopt met wat ik in mijn hoofd heb", maar een tekening die voldoet aan structurele regels die iedereen op dezelfde manier leest. De reviewchecklist uit opdracht 6 is het instrument dat dit onderscheid concreet maakt en komt in elk volgend modelleerdeel terug — bewaar hem als los document.</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 en 2,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Omgeving: inloggen, leeg model, opslaan, exporteren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begeleid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Waarom BPMN, pools en lanes (§3.1–3.2)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0:45 – 1:05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snel plenair nabespreken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1:05 – 1:20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1:20 – 1:40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Activiteiten (§3.3)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1:40 – 2:00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Events (§3.4)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2:00 – 2:30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klassikaal per fragment bespreken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2:30 – 2:45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2:45 – 3:00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Gateways (§3.5)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3:00 – 3:20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 en 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3:20 – 3:45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3:45 – 4:00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6, kort reflecteren (opdracht 7),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 plenair afsluiten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Dit is een vol dagdeel. Bij tijdsdruk: laat §3.6 (data en annotatie) samenvatten in twee zinnen in plaats van uitgebreid te behandelen — de opdrachten leunen er niet zwaar op. Laat opdracht 2 nooit inkorten; dat is waar structurele fouten voor het eerst zichtbaar worden vóórdat deelnemers ze zelf gaan maken.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Elementen herkennen</w:t>
      </w:r>
    </w:p>
    <w:p>
      <w:pPr>
        <w:spacing w:after="160" w:line="300"/>
        <w:jc w:val="left"/>
      </w:pPr>
      <w:r>
        <w:rPr>
          <w:rFonts w:ascii="Calibri" w:cs="Calibri" w:eastAsia="Calibri" w:hAnsi="Calibri"/>
          <w:b w:val="false"/>
          <w:bCs w:val="false"/>
          <w:i w:val="false"/>
          <w:iCs w:val="false"/>
          <w:color w:val="1A1A1A"/>
          <w:sz w:val="21"/>
          <w:szCs w:val="21"/>
        </w:rPr>
        <w:t xml:space="preserve">Voorbeeld van de vijf valstrikken en waarom ze verward worden: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None start event vs. message start event</w:t>
      </w:r>
      <w:r>
        <w:rPr>
          <w:rFonts w:ascii="Calibri" w:cs="Calibri" w:eastAsia="Calibri" w:hAnsi="Calibri"/>
          <w:b w:val="false"/>
          <w:bCs w:val="false"/>
          <w:i w:val="false"/>
          <w:iCs w:val="false"/>
          <w:color w:val="1A1A1A"/>
          <w:sz w:val="21"/>
          <w:szCs w:val="21"/>
        </w:rPr>
        <w:t xml:space="preserve"> — het verschil (leeg symbool versus envelopje) wordt vaak over het hoofd gezien omdat beide "gewoon een start" lijken. Benoem: een message start event impliceert dat het proces altijd door een binnenkomend bericht wordt getriggerd — relevant zodra je in deel 4 meerdere startpaden krijgt.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Intermediate message event (catching) vs. boundary message event</w:t>
      </w:r>
      <w:r>
        <w:rPr>
          <w:rFonts w:ascii="Calibri" w:cs="Calibri" w:eastAsia="Calibri" w:hAnsi="Calibri"/>
          <w:b w:val="false"/>
          <w:bCs w:val="false"/>
          <w:i w:val="false"/>
          <w:iCs w:val="false"/>
          <w:color w:val="1A1A1A"/>
          <w:sz w:val="21"/>
          <w:szCs w:val="21"/>
        </w:rPr>
        <w:t xml:space="preserve"> — visueel bijna identiek (envelopje), maar de plaatsing bepaalt de betekenis volledig: op de sequence flow versus op de rand van een activiteit. Dit onderscheid wordt pas echt relevant in deel 4; benoem hier alvast dat plaatsing er in BPMN toe doet, niet alleen het symbool.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Exclusive gateway met/zonder kruis</w:t>
      </w:r>
      <w:r>
        <w:rPr>
          <w:rFonts w:ascii="Calibri" w:cs="Calibri" w:eastAsia="Calibri" w:hAnsi="Calibri"/>
          <w:b w:val="false"/>
          <w:bCs w:val="false"/>
          <w:i w:val="false"/>
          <w:iCs w:val="false"/>
          <w:color w:val="1A1A1A"/>
          <w:sz w:val="21"/>
          <w:szCs w:val="21"/>
        </w:rPr>
        <w:t xml:space="preserve"> — beide zijn toegestaan en betekenen hetzelfde; de valstrik is dat deelnemers denken dat het kruis een ander gatewaytype aanduidt.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Task vs. collapsed subprocess</w:t>
      </w:r>
      <w:r>
        <w:rPr>
          <w:rFonts w:ascii="Calibri" w:cs="Calibri" w:eastAsia="Calibri" w:hAnsi="Calibri"/>
          <w:b w:val="false"/>
          <w:bCs w:val="false"/>
          <w:i w:val="false"/>
          <w:iCs w:val="false"/>
          <w:color w:val="1A1A1A"/>
          <w:sz w:val="21"/>
          <w:szCs w:val="21"/>
        </w:rPr>
        <w:t xml:space="preserve"> — het plusteken onderin is klein en wordt gemist. Herinner: een subprocess bevat zelf weer een proces, een task niet.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Send task vs. receive task</w:t>
      </w:r>
      <w:r>
        <w:rPr>
          <w:rFonts w:ascii="Calibri" w:cs="Calibri" w:eastAsia="Calibri" w:hAnsi="Calibri"/>
          <w:b w:val="false"/>
          <w:bCs w:val="false"/>
          <w:i w:val="false"/>
          <w:iCs w:val="false"/>
          <w:color w:val="1A1A1A"/>
          <w:sz w:val="21"/>
          <w:szCs w:val="21"/>
        </w:rPr>
        <w:t xml:space="preserve"> — de pijlrichting in het symbool (gevuld vs. leeg envelopje) wordt vaak verwisseld. Vraag door: welke richting heeft het bericht?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Fout of goed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Oordeel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Correctie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Fout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Vervang door message flow tussen de twee pools.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Waarschijnlijk fout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Vraag naar de context; meestal wijst dit op twee processen die ten onrechte samengevoegd zijn.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Fout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Label hoort geen beoordeling te zijn; verplaats de beoordeling naar een (business rule) task vóór de gateway, gebruik de uitkomst als conditie.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Fout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Elke activiteit heeft een uitgaande flow; ontbreken wijst op een vergeten aansluiting of een impliciet einde dat expliciet moet.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Fout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Splitsingstype en samenkomsttype moeten overeenkomen.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Fout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Herformuleer naar de voltooide vorm: "Aanvraag afgehandeld".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Fout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Voeg een default flow toe, of een conditie op het derde pad.</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8</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Fout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externe organisatie hoort een eigen (mogelijk collapsed) pool te zijn, geen lane.</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Fragment 3 is het leerzaamste — het verbindt direct terug naar deel 1, §1.2 (scheiding van zorgen) en deel 8. Besteed hier bewust meer tijd aan dan aan de overige fragmenten.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4 en 5 — Modelleren</w:t>
      </w:r>
    </w:p>
    <w:p>
      <w:pPr>
        <w:spacing w:after="160" w:line="300"/>
        <w:jc w:val="left"/>
      </w:pPr>
      <w:r>
        <w:rPr>
          <w:rFonts w:ascii="Calibri" w:cs="Calibri" w:eastAsia="Calibri" w:hAnsi="Calibri"/>
          <w:b w:val="false"/>
          <w:bCs w:val="false"/>
          <w:i w:val="false"/>
          <w:iCs w:val="false"/>
          <w:color w:val="1A1A1A"/>
          <w:sz w:val="21"/>
          <w:szCs w:val="21"/>
        </w:rPr>
        <w:t xml:space="preserve">Referentiemodellen zijn beschikbaar als los bestand (BPMN-XML, te importeren in Conductus). Beoordeel niet op gelijkenis met het referentiemodel maar op de checklist uit opdracht 6 — afwijkende, correcte modellen zijn een goed resultaat, geen afwijking.</w:t>
      </w:r>
    </w:p>
    <w:p>
      <w:pPr>
        <w:spacing w:after="160" w:line="300"/>
        <w:jc w:val="left"/>
      </w:pPr>
      <w:r>
        <w:rPr>
          <w:rFonts w:ascii="Calibri" w:cs="Calibri" w:eastAsia="Calibri" w:hAnsi="Calibri"/>
          <w:b/>
          <w:bCs/>
          <w:i w:val="false"/>
          <w:iCs w:val="false"/>
          <w:color w:val="1A1A1A"/>
          <w:sz w:val="21"/>
          <w:szCs w:val="21"/>
        </w:rPr>
        <w:t xml:space="preserve">Opdracht 5, het tijdgevoelige punt.</w:t>
      </w:r>
      <w:r>
        <w:rPr>
          <w:rFonts w:ascii="Calibri" w:cs="Calibri" w:eastAsia="Calibri" w:hAnsi="Calibri"/>
          <w:b w:val="false"/>
          <w:bCs w:val="false"/>
          <w:i w:val="false"/>
          <w:iCs w:val="false"/>
          <w:color w:val="1A1A1A"/>
          <w:sz w:val="21"/>
          <w:szCs w:val="21"/>
        </w:rPr>
        <w:t xml:space="preserve"> De tekst laat expliciet in het midden wat er gebeurt als de deelnemer wél of niet op tijd reageert na de aanvultermijn. Dit is bewust: deelnemers moeten die impliciete beslissing zelf herkennen en expliciet maken. Verwacht twee redelijke oplossingen: (a) een boundary timer event op de wachtactiviteit met een pad naar afwijzing bij overschrijding — dit hoort eigenlijk bij de analytic subclass en is dus niet vereist, benoem dat als vooruitblik naar deel 4 — of (b) binnen de descriptive subclass: een exclusive gateway na een ontvangst-activiteit met conditie "binnen termijn / na termijn", met een timer event als aparte tak. Beide zijn acceptabel op dit niveau; de tekstannotatie met motivatie is het beoordeelde onderdeel, niet welke oplossing gekozen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Review</w:t>
      </w:r>
    </w:p>
    <w:p>
      <w:pPr>
        <w:spacing w:after="160" w:line="300"/>
        <w:jc w:val="left"/>
      </w:pPr>
      <w:r>
        <w:rPr>
          <w:rFonts w:ascii="Calibri" w:cs="Calibri" w:eastAsia="Calibri" w:hAnsi="Calibri"/>
          <w:b w:val="false"/>
          <w:bCs w:val="false"/>
          <w:i w:val="false"/>
          <w:iCs w:val="false"/>
          <w:color w:val="1A1A1A"/>
          <w:sz w:val="21"/>
          <w:szCs w:val="21"/>
        </w:rPr>
        <w:t xml:space="preserve">Loop tijdens deze opdracht rond en verzamel welke checklistpunten het vaakst worden aangevinkt als "niet in orde". Gebruik dat voor de klassikale afsluiting: benoem het meest gemaakte punt expliciet, zodat de hele groep ervan leert, niet alleen het tweetal dat het zelf ontdekte.</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Sequence flow over poolgrenzen.</w:t>
      </w:r>
      <w:r>
        <w:rPr>
          <w:rFonts w:ascii="Calibri" w:cs="Calibri" w:eastAsia="Calibri" w:hAnsi="Calibri"/>
          <w:b w:val="false"/>
          <w:bCs w:val="false"/>
          <w:i w:val="false"/>
          <w:iCs w:val="false"/>
          <w:color w:val="1A1A1A"/>
          <w:sz w:val="21"/>
          <w:szCs w:val="21"/>
        </w:rPr>
        <w:t xml:space="preserve"> Vrijwel iedereen maakt deze fout minstens één keer, meestal in opdracht 4. Laat het gebeuren, corrigeer klassikaal — het is effectiever als eigen ontdekking dan als vooraf gewaarschuwde regel.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Gateway als beslissing labelen.</w:t>
      </w:r>
      <w:r>
        <w:rPr>
          <w:rFonts w:ascii="Calibri" w:cs="Calibri" w:eastAsia="Calibri" w:hAnsi="Calibri"/>
          <w:b w:val="false"/>
          <w:bCs w:val="false"/>
          <w:i w:val="false"/>
          <w:iCs w:val="false"/>
          <w:color w:val="1A1A1A"/>
          <w:sz w:val="21"/>
          <w:szCs w:val="21"/>
        </w:rPr>
        <w:t xml:space="preserve"> Rechtstreeks gevolg van onvoldoende scheiding tussen regel en volgorde (deel 1). Verwijs er expliciet naar terug.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Alles in één lane.</w:t>
      </w:r>
      <w:r>
        <w:rPr>
          <w:rFonts w:ascii="Calibri" w:cs="Calibri" w:eastAsia="Calibri" w:hAnsi="Calibri"/>
          <w:b w:val="false"/>
          <w:bCs w:val="false"/>
          <w:i w:val="false"/>
          <w:iCs w:val="false"/>
          <w:color w:val="1A1A1A"/>
          <w:sz w:val="21"/>
          <w:szCs w:val="21"/>
        </w:rPr>
        <w:t xml:space="preserve"> Deelnemers die de rolverdeling niet uit de tekst halen, proppen alles in één lane omdat "het makkelijker tekent". Vraag door: wie doet dit precies?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Vergeten eindtoestanden.</w:t>
      </w:r>
      <w:r>
        <w:rPr>
          <w:rFonts w:ascii="Calibri" w:cs="Calibri" w:eastAsia="Calibri" w:hAnsi="Calibri"/>
          <w:b w:val="false"/>
          <w:bCs w:val="false"/>
          <w:i w:val="false"/>
          <w:iCs w:val="false"/>
          <w:color w:val="1A1A1A"/>
          <w:sz w:val="21"/>
          <w:szCs w:val="21"/>
        </w:rPr>
        <w:t xml:space="preserve"> Vooral bij het afwijzingspad — deelnemers modelleren de happy path zorgvuldig en laten uitzonderingspaden "los" eindigen.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Tooling-frictie onderschatten.</w:t>
      </w:r>
      <w:r>
        <w:rPr>
          <w:rFonts w:ascii="Calibri" w:cs="Calibri" w:eastAsia="Calibri" w:hAnsi="Calibri"/>
          <w:b w:val="false"/>
          <w:bCs w:val="false"/>
          <w:i w:val="false"/>
          <w:iCs w:val="false"/>
          <w:color w:val="1A1A1A"/>
          <w:sz w:val="21"/>
          <w:szCs w:val="21"/>
        </w:rPr>
        <w:t xml:space="preserve"> Reserveer de 20 minuten aan het begin serieus; sla deze stap nooit over, ook niet bij een groep die zegt al ervaring te hebben met een andere tool. Conductus heeft eigen exportstappen en eigen sneltoetsen.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Pools en lanes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Sequence flow over poolgrenzen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Correcte scheiding, rolverdeling herkenbaar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Correcte scheiding, bewuste keuze voor collapsed/expanded gemotiveerd</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Activiteiten en events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Toestand in plaats van handeling, inconsistente naamgeving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Correcte naamgevingsconventie toegepast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Consistent en precies, tasktype passend bij de aard van het werk</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Gateways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Gateway als beslissing, ontbrekende condities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 type, condities aanwezig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Default flow bewust toegepast, splitsing en samenkomst consistent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Modelleerproces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Begint met uitzonderingen, geen happy path eerst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Volgt de vijf stappen uit §3.7</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Volgt de stappen én expliciteert impliciete keuzes (zoals in opdracht 5)</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voor elke deelnemer (vooraf gecontroleerd), referentiemodellen als BPMN-XML beschikbaar voor import, symbolenlijst opdracht 1 als los blad of digitaal.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3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2026-08-17T15:44:17.507Z</dcterms:created>
  <dcterms:modified xsi:type="dcterms:W3CDTF">2026-08-17T15:44:17.508Z</dcterms:modified>
</cp:coreProperties>
</file>

<file path=docProps/custom.xml><?xml version="1.0" encoding="utf-8"?>
<Properties xmlns="http://schemas.openxmlformats.org/officeDocument/2006/custom-properties" xmlns:vt="http://schemas.openxmlformats.org/officeDocument/2006/docPropsVTypes"/>
</file>