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2563A8"/>
          <w:sz w:val="20"/>
          <w:szCs w:val="20"/>
        </w:rPr>
        <w:t xml:space="preserve">BPMN, CMMN &amp; DMN</w:t>
      </w:r>
    </w:p>
    <w:p>
      <w:pPr>
        <w:spacing w:after="40"/>
      </w:pPr>
      <w:r>
        <w:rPr>
          <w:rFonts w:ascii="Calibri" w:cs="Calibri" w:eastAsia="Calibri" w:hAnsi="Calibri"/>
          <w:color w:val="6B7280"/>
          <w:sz w:val="22"/>
          <w:szCs w:val="22"/>
        </w:rPr>
        <w:t xml:space="preserve">Niveau 1 — Fundament · Deel 6</w:t>
      </w:r>
    </w:p>
    <w:p>
      <w:pPr>
        <w:spacing w:after="300"/>
      </w:pPr>
      <w:r>
        <w:rPr>
          <w:rFonts w:ascii="Calibri" w:cs="Calibri" w:eastAsia="Calibri" w:hAnsi="Calibri"/>
          <w:b/>
          <w:bCs/>
          <w:color w:val="14213D"/>
          <w:sz w:val="32"/>
          <w:szCs w:val="32"/>
        </w:rPr>
        <w:t xml:space="preserve">Docentenhandleiding — DMN basis</w:t>
      </w:r>
    </w:p>
    <w:p>
      <w:pPr>
        <w:pStyle w:val="Heading2"/>
        <w:pBdr>
          <w:bottom w:val="single" w:color="2563A8" w:sz="6" w:space="4"/>
        </w:pBdr>
        <w:spacing w:after="160" w:before="300"/>
      </w:pPr>
      <w:r>
        <w:rPr>
          <w:rFonts w:ascii="Calibri" w:cs="Calibri" w:eastAsia="Calibri" w:hAnsi="Calibri"/>
          <w:b/>
          <w:bCs/>
          <w:color w:val="2563A8"/>
          <w:sz w:val="24"/>
          <w:szCs w:val="24"/>
        </w:rPr>
        <w:t xml:space="preserve">Doel en positie</w:t>
      </w:r>
    </w:p>
    <w:p>
      <w:pPr>
        <w:spacing w:after="160" w:line="300"/>
        <w:jc w:val="left"/>
      </w:pPr>
      <w:r>
        <w:rPr>
          <w:rFonts w:ascii="Calibri" w:cs="Calibri" w:eastAsia="Calibri" w:hAnsi="Calibri"/>
          <w:b w:val="false"/>
          <w:bCs w:val="false"/>
          <w:i w:val="false"/>
          <w:iCs w:val="false"/>
          <w:color w:val="1A1A1A"/>
          <w:sz w:val="21"/>
          <w:szCs w:val="21"/>
        </w:rPr>
        <w:t xml:space="preserve">Eerste kennismaking met de tweede taal van het programma. Grootste risico: deelnemers die net vier delen BPMN achter de rug hebben, proberen DMN te lezen als een variant van BPMN — een tabel als "nog een soort diagram". Zet dat er hard uit vanaf de eerste minuut: een beslistabel heeft geen volgorde, geen token, geen tijd. Het is invoer en uitkomst, punt.</w:t>
      </w:r>
    </w:p>
    <w:p>
      <w:pPr>
        <w:spacing w:after="160" w:line="300"/>
        <w:jc w:val="left"/>
      </w:pPr>
      <w:r>
        <w:rPr>
          <w:rFonts w:ascii="Calibri" w:cs="Calibri" w:eastAsia="Calibri" w:hAnsi="Calibri"/>
          <w:b w:val="false"/>
          <w:bCs w:val="false"/>
          <w:i w:val="false"/>
          <w:iCs w:val="false"/>
          <w:color w:val="1A1A1A"/>
          <w:sz w:val="21"/>
          <w:szCs w:val="21"/>
        </w:rPr>
        <w:t xml:space="preserve">Tweede punt van aandacht: de hit policies zijn de examenkern van dit deel en verdienen meer tijd dan de FEEL-introductie. FEEL komt in deel 15 uitgebreid terug; hier is het genoeg dat deelnemers een eenvoudige expressie kunnen lezen.</w:t>
      </w:r>
    </w:p>
    <w:p>
      <w:pPr>
        <w:pStyle w:val="Heading2"/>
        <w:pBdr>
          <w:bottom w:val="single" w:color="2563A8" w:sz="6" w:space="4"/>
        </w:pBdr>
        <w:spacing w:after="160" w:before="300"/>
      </w:pPr>
      <w:r>
        <w:rPr>
          <w:rFonts w:ascii="Calibri" w:cs="Calibri" w:eastAsia="Calibri" w:hAnsi="Calibri"/>
          <w:b/>
          <w:bCs/>
          <w:color w:val="2563A8"/>
          <w:sz w:val="24"/>
          <w:szCs w:val="24"/>
        </w:rPr>
        <w:t xml:space="preserve">Tijdschema (dagdeel van 4 uur)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Tijd</w:t>
            </w:r>
          </w:p>
        </w:tc>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Onderdeel</w:t>
            </w:r>
          </w:p>
        </w:tc>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Werkvorm</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0:00 – 0:10</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Terugblik niveau 1 tot nu toe, programma</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Plenair</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0:10 – 0:25</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Wanneer is iets een beslissing (§6.1)</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Presentatie, WI-114-voorbeeld</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0:25 – 0:45</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Opdracht 1</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Individueel, plenair nabespreken</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0:45 – 1:05</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DRD (§6.2)</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Presentatie</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1:05 – 1:25</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Opdracht 2</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Individueel in Conductus</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1:25 – 1:40</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Pauze</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1:40 – 2:00</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Beslistabellen (§6.3)</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Presentatie</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2:00 – 2:30</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Hit policies (§6.4)</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Presentatie, figuur 6.3 stap voor stap</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2:30 – 2:45</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Pauze</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2:45 – 3:15</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Opdracht 3</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Individueel in Conductus</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3:15 – 3:40</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Opdracht 4</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Tweetallen</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3:40 – 3:50</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Volledigheid/consistentie (§6.5), FEEL kort (§6.6), business rule task (§6.7)</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Presentatie, kort</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3:50 – 4:00</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Opdracht 5 (kort, of huiswerk), opdracht 6, vooruitblik</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Plenair</w:t>
            </w:r>
          </w:p>
        </w:tc>
      </w:tr>
    </w:tbl>
    <w:p>
      <w:pPr>
        <w:spacing w:before="200"/>
      </w:pPr>
    </w:p>
    <w:p>
      <w:pPr>
        <w:spacing w:after="160" w:line="300"/>
        <w:jc w:val="left"/>
      </w:pPr>
      <w:r>
        <w:rPr>
          <w:rFonts w:ascii="Calibri" w:cs="Calibri" w:eastAsia="Calibri" w:hAnsi="Calibri"/>
          <w:b w:val="false"/>
          <w:bCs w:val="false"/>
          <w:i w:val="false"/>
          <w:iCs w:val="false"/>
          <w:color w:val="1A1A1A"/>
          <w:sz w:val="21"/>
          <w:szCs w:val="21"/>
        </w:rPr>
        <w:t xml:space="preserve">Bij tijdsdruk: opdracht 5 (FEEL) kan als huiswerk — het is de opdracht die het minst live begeleiding vergt. Laat opdracht 4 (hit policies) nooit inkorten; dat draagt het meeste examengewicht van dit deel.</w:t>
      </w:r>
    </w:p>
    <w:p>
      <w:pPr>
        <w:pStyle w:val="Heading2"/>
        <w:pBdr>
          <w:bottom w:val="single" w:color="2563A8" w:sz="6" w:space="4"/>
        </w:pBdr>
        <w:spacing w:after="160" w:before="300"/>
      </w:pPr>
      <w:r>
        <w:rPr>
          <w:rFonts w:ascii="Calibri" w:cs="Calibri" w:eastAsia="Calibri" w:hAnsi="Calibri"/>
          <w:b/>
          <w:bCs/>
          <w:color w:val="2563A8"/>
          <w:sz w:val="24"/>
          <w:szCs w:val="24"/>
        </w:rPr>
        <w:t xml:space="preserve">Uitwerkingen</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1 — Proces of beslissing?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w:t>
            </w:r>
          </w:p>
        </w:tc>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Antwoord</w:t>
            </w:r>
          </w:p>
        </w:tc>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Toelichting</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1</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Beslissing</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Geen tijd, geen volgorde — puur invoer en uitkomst.</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2</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Proces</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Expliciete volgorde: ontvangen, dan controleren, dan (eventueel) versturen.</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3</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Beslissing</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Drie inputs zonder onderlinge tijdsafhankelijkheid, één uitkomst. Let op: "in de afgelopen 12 maanden" is een input die uit historische data komt, geen procesvolgorde.</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4</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Proces</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Twee sequentiële stappen.</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5</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Beslissing</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Twee inputs, geen tijd.</w:t>
            </w:r>
          </w:p>
        </w:tc>
      </w:tr>
    </w:tbl>
    <w:p>
      <w:pPr>
        <w:spacing w:before="200"/>
      </w:pPr>
    </w:p>
    <w:p>
      <w:pPr>
        <w:spacing w:after="160" w:line="300"/>
        <w:jc w:val="left"/>
      </w:pPr>
      <w:r>
        <w:rPr>
          <w:rFonts w:ascii="Calibri" w:cs="Calibri" w:eastAsia="Calibri" w:hAnsi="Calibri"/>
          <w:b/>
          <w:bCs/>
          <w:i w:val="false"/>
          <w:iCs w:val="false"/>
          <w:color w:val="1A1A1A"/>
          <w:sz w:val="21"/>
          <w:szCs w:val="21"/>
        </w:rPr>
        <w:t xml:space="preserve">Bespreekpunt.</w:t>
      </w:r>
      <w:r>
        <w:rPr>
          <w:rFonts w:ascii="Calibri" w:cs="Calibri" w:eastAsia="Calibri" w:hAnsi="Calibri"/>
          <w:b w:val="false"/>
          <w:bCs w:val="false"/>
          <w:i w:val="false"/>
          <w:iCs w:val="false"/>
          <w:color w:val="1A1A1A"/>
          <w:sz w:val="21"/>
          <w:szCs w:val="21"/>
        </w:rPr>
        <w:t xml:space="preserve"> Fragment 3 verwart deelnemers vaak omdat "in de afgelopen 12 maanden" naar tijd klinkt. Het onderscheid: dit is een gegeven (een historisch feit dat als invoerwaarde beschikbaar is), geen volgorde die het proces zelf doorloopt.</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2 — Bouw een DRD</w:t>
      </w:r>
    </w:p>
    <w:p>
      <w:pPr>
        <w:spacing w:after="160" w:line="300"/>
        <w:jc w:val="left"/>
      </w:pPr>
      <w:r>
        <w:rPr>
          <w:rFonts w:ascii="Calibri" w:cs="Calibri" w:eastAsia="Calibri" w:hAnsi="Calibri"/>
          <w:b w:val="false"/>
          <w:bCs w:val="false"/>
          <w:i w:val="false"/>
          <w:iCs w:val="false"/>
          <w:color w:val="1A1A1A"/>
          <w:sz w:val="21"/>
          <w:szCs w:val="21"/>
        </w:rPr>
        <w:t xml:space="preserve">Referentiemodel beschikbaar als DMN-XML voor import. Controleer: één decision met drie inkomende information requirements vanaf de drie input data-elementen, en een knowledge source verbonden met een niet-uitvoerbare, informatieve pijl (requirement-type "authority requirement" indien de tool dat ondersteunt, anders als toelichting).</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3 — Bouw de beslistabel</w:t>
      </w:r>
    </w:p>
    <w:p>
      <w:pPr>
        <w:spacing w:after="160" w:line="300"/>
        <w:jc w:val="left"/>
      </w:pPr>
      <w:r>
        <w:rPr>
          <w:rFonts w:ascii="Calibri" w:cs="Calibri" w:eastAsia="Calibri" w:hAnsi="Calibri"/>
          <w:b w:val="false"/>
          <w:bCs w:val="false"/>
          <w:i w:val="false"/>
          <w:iCs w:val="false"/>
          <w:color w:val="1A1A1A"/>
          <w:sz w:val="21"/>
          <w:szCs w:val="21"/>
        </w:rPr>
        <w:t xml:space="preserve">Referentietabel: de vier expliciete combinaties uit §6.3, aangevuld met de vier niet in de brontekst genoemde combinaties. Verdedigbare invullingen voor de aanvullende vier (met dienstverband = nee):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Actief dienstverband</w:t>
            </w:r>
          </w:p>
        </w:tc>
        <w:tc>
          <w:tcPr>
            <w:tcW w:type="dxa" w:w="225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Overdrachtswaarde boven afkoopgrens</w:t>
            </w:r>
          </w:p>
        </w:tc>
        <w:tc>
          <w:tcPr>
            <w:tcW w:type="dxa" w:w="225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Dekkingsgraad ≥ 100%</w:t>
            </w:r>
          </w:p>
        </w:tc>
        <w:tc>
          <w:tcPr>
            <w:tcW w:type="dxa" w:w="225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Uitkomst</w:t>
            </w:r>
          </w:p>
        </w:tc>
      </w:tr>
      <w:tr>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nee</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ja</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ja</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Afwijzen (na nader onderzoek)</w:t>
            </w:r>
          </w:p>
        </w:tc>
      </w:tr>
      <w:tr>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nee</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ja</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nee</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Afwijzen (na nader onderzoek)</w:t>
            </w:r>
          </w:p>
        </w:tc>
      </w:tr>
      <w:tr>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nee</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nee</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ja</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Afwijzen (na nader onderzoek)</w:t>
            </w:r>
          </w:p>
        </w:tc>
      </w:tr>
      <w:tr>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nee</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nee</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nee</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Afwijzen (na nader onderzoek)</w:t>
            </w:r>
          </w:p>
        </w:tc>
      </w:tr>
    </w:tbl>
    <w:p>
      <w:pPr>
        <w:spacing w:before="200"/>
      </w:pPr>
    </w:p>
    <w:p>
      <w:pPr>
        <w:spacing w:after="160" w:line="300"/>
        <w:jc w:val="left"/>
      </w:pPr>
      <w:r>
        <w:rPr>
          <w:rFonts w:ascii="Calibri" w:cs="Calibri" w:eastAsia="Calibri" w:hAnsi="Calibri"/>
          <w:b w:val="false"/>
          <w:bCs w:val="false"/>
          <w:i w:val="false"/>
          <w:iCs w:val="false"/>
          <w:color w:val="1A1A1A"/>
          <w:sz w:val="21"/>
          <w:szCs w:val="21"/>
        </w:rPr>
        <w:t xml:space="preserve">Beoordeel niet op de exacte uitkomst maar op: heeft de deelnemer alle acht combinaties benoemd, en is de motivatie in de aantekening inhoudelijk (niet "leek me logisch")? Dit is een direct toepassing van volledigheid uit §6.5, vóórdat het begrip formeel wordt geïntroduceerd — een bewuste volgorde: eerst zelf tegen het probleem aanlopen, dan het begrip erbij krijgen in het volgende blok.</w:t>
      </w:r>
    </w:p>
    <w:p>
      <w:pPr>
        <w:spacing w:after="160" w:line="300"/>
        <w:jc w:val="left"/>
      </w:pPr>
      <w:r>
        <w:rPr>
          <w:rFonts w:ascii="Calibri" w:cs="Calibri" w:eastAsia="Calibri" w:hAnsi="Calibri"/>
          <w:b/>
          <w:bCs/>
          <w:i w:val="false"/>
          <w:iCs w:val="false"/>
          <w:color w:val="1A1A1A"/>
          <w:sz w:val="21"/>
          <w:szCs w:val="21"/>
        </w:rPr>
        <w:t xml:space="preserve">Overlapcontrole.</w:t>
      </w:r>
      <w:r>
        <w:rPr>
          <w:rFonts w:ascii="Calibri" w:cs="Calibri" w:eastAsia="Calibri" w:hAnsi="Calibri"/>
          <w:b w:val="false"/>
          <w:bCs w:val="false"/>
          <w:i w:val="false"/>
          <w:iCs w:val="false"/>
          <w:color w:val="1A1A1A"/>
          <w:sz w:val="21"/>
          <w:szCs w:val="21"/>
        </w:rPr>
        <w:t xml:space="preserve"> Bij correcte invulling met Unique-hit policy zou er geen overlap moeten zijn — elke combinatie van drie booleaanse waarden komt in precies één rij voor. Als een deelnemer overlap vindt, is er een duplicaat of een inconsistente eerdere rij; laat dat als leermoment staan voordat je zelf corrigeert.</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4 — Kies de hit policy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w:t>
            </w:r>
          </w:p>
        </w:tc>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Hit policy</w:t>
            </w:r>
          </w:p>
        </w:tc>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Waarom niet de andere</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1</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Unique</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Any zou overlap toestaan die hier ontbreekt en dus onnodig is; Priority/First lossen een probleem op dat hier niet bestaat (geen overlap mogelijk per ontwerp).</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2</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Collect (SUM)</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Any en Unique staan geen meervoudige gelijktijdige uitkomsten toe; Rule order zou de bedragen niet optellen maar los tonen.</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3</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Priority</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First is gevoelig voor tabelvolgorde in plaats van een expliciete prioriteit; Collect zou alle uitkomsten samen tonen in plaats van er één te kiezen.</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4</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Rule order</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Collect met aggregatie is hier niet passend (geen SUM/MIN/MAX/COUNT van toepassing op documenten); Output order zou op de outputwaarde sorteren in plaats van op regelvolgorde, wat hier niet gevraagd wordt.</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5</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Any</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Dit ís de definitie van Any: overlap toegestaan mits consistent. Unique zou de overlap juist verbieden, wat het doel van de controle tegenspreekt.</w:t>
            </w:r>
          </w:p>
        </w:tc>
      </w:tr>
    </w:tbl>
    <w:p>
      <w:pPr>
        <w:spacing w:before="200"/>
      </w:pP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5 — FEEL lezen en schrijven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`[10000..500000]`</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`&gt;= date("2026-01-01")`</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Exclusief beide grenzen: 0 en 18 vallen er niet in; een waarde als 5 of 17 wel.</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Elke waarde voldoet — een lege cel betekent "niet van toepassing als beperkende voorwaarde", niet "onbekend". Dit is een veelgemaakte denkfout; besteed hier extra aandacht aan.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`&gt; 50000 or &lt; 21` — let op dat dit twee losse condities zijn die mogelijk op verschillende kolommen slaan; als beide in één cel moeten (ongebruikelijk), is de volledige vorm nodig met een expliciete referentie naar beide variabelen.</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6 — Stellingen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Breed gedragen in de praktijk en een goede vuistregel; laat de discussie kort zijn.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Sterk verdedigbaar, met een tegenwerping: bij een tabel met veel of continue inputs (bijvoorbeeld leeftijd als getal) is "aantoonbaar volledig" soms alleen door het gebruik van een default/catch-all regel te bereiken in plaats van elke combinatie letterlijk uit te schrijven.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Een goede vooruitblik naar deel 15 (decompositie van beslismodellen) — laat de discussie open, dit wordt daar verder uitgewerkt.</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Bewust prikkelend. FEEL is ontworpen om leesbaar te zijn, maar "onderhouden zonder ontwikkelaar" hangt sterk af van de complexiteit van de expressies — een eenvoudige range is prima, een geneste boxed expression (deel 15) minder.</w:t>
      </w:r>
    </w:p>
    <w:p>
      <w:pPr>
        <w:pStyle w:val="Heading2"/>
        <w:pBdr>
          <w:bottom w:val="single" w:color="2563A8" w:sz="6" w:space="4"/>
        </w:pBdr>
        <w:spacing w:after="160" w:before="300"/>
      </w:pPr>
      <w:r>
        <w:rPr>
          <w:rFonts w:ascii="Calibri" w:cs="Calibri" w:eastAsia="Calibri" w:hAnsi="Calibri"/>
          <w:b/>
          <w:bCs/>
          <w:color w:val="2563A8"/>
          <w:sz w:val="24"/>
          <w:szCs w:val="24"/>
        </w:rPr>
        <w:t xml:space="preserve">Veelgemaakte fouten in dit deel</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DMN lezen als een BPMN-variant.</w:t>
      </w:r>
      <w:r>
        <w:rPr>
          <w:rFonts w:ascii="Calibri" w:cs="Calibri" w:eastAsia="Calibri" w:hAnsi="Calibri"/>
          <w:b w:val="false"/>
          <w:bCs w:val="false"/>
          <w:i w:val="false"/>
          <w:iCs w:val="false"/>
          <w:color w:val="1A1A1A"/>
          <w:sz w:val="21"/>
          <w:szCs w:val="21"/>
        </w:rPr>
        <w:t xml:space="preserve"> Herhaal expliciet: geen volgorde, geen token.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Onvolledige tabellen</w:t>
      </w:r>
      <w:r>
        <w:rPr>
          <w:rFonts w:ascii="Calibri" w:cs="Calibri" w:eastAsia="Calibri" w:hAnsi="Calibri"/>
          <w:b w:val="false"/>
          <w:bCs w:val="false"/>
          <w:i w:val="false"/>
          <w:iCs w:val="false"/>
          <w:color w:val="1A1A1A"/>
          <w:sz w:val="21"/>
          <w:szCs w:val="21"/>
        </w:rPr>
        <w:t xml:space="preserve"> — vooral bij meer dan twee booleaanse inputs raken deelnemers het overzicht kwijt. Opdracht 3 is hier bewust op gericht.</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Hit policy als bijzaak behandelen.</w:t>
      </w:r>
      <w:r>
        <w:rPr>
          <w:rFonts w:ascii="Calibri" w:cs="Calibri" w:eastAsia="Calibri" w:hAnsi="Calibri"/>
          <w:b w:val="false"/>
          <w:bCs w:val="false"/>
          <w:i w:val="false"/>
          <w:iCs w:val="false"/>
          <w:color w:val="1A1A1A"/>
          <w:sz w:val="21"/>
          <w:szCs w:val="21"/>
        </w:rPr>
        <w:t xml:space="preserve"> Benadruk: de hit policy is een ontwerpbeslissing die het gedrag van de hele tabel bepaalt, niet een instelling die je achteraf kunt aanpassen zonder de tabel te herzien.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Lege cel verwarren met "onbekend".</w:t>
      </w:r>
      <w:r>
        <w:rPr>
          <w:rFonts w:ascii="Calibri" w:cs="Calibri" w:eastAsia="Calibri" w:hAnsi="Calibri"/>
          <w:b w:val="false"/>
          <w:bCs w:val="false"/>
          <w:i w:val="false"/>
          <w:iCs w:val="false"/>
          <w:color w:val="1A1A1A"/>
          <w:sz w:val="21"/>
          <w:szCs w:val="21"/>
        </w:rPr>
        <w:t xml:space="preserve"> Zie opdracht 5, vraag 4 — dit is een hardnekkige denkfout.</w:t>
      </w:r>
    </w:p>
    <w:p>
      <w:pPr>
        <w:pStyle w:val="Heading2"/>
        <w:pBdr>
          <w:bottom w:val="single" w:color="2563A8" w:sz="6" w:space="4"/>
        </w:pBdr>
        <w:spacing w:after="160" w:before="300"/>
      </w:pPr>
      <w:r>
        <w:rPr>
          <w:rFonts w:ascii="Calibri" w:cs="Calibri" w:eastAsia="Calibri" w:hAnsi="Calibri"/>
          <w:b/>
          <w:bCs/>
          <w:color w:val="2563A8"/>
          <w:sz w:val="24"/>
          <w:szCs w:val="24"/>
        </w:rPr>
        <w:t xml:space="preserve">Beoordelingsrubric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Criterium</w:t>
            </w:r>
          </w:p>
        </w:tc>
        <w:tc>
          <w:tcPr>
            <w:tcW w:type="dxa" w:w="225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Onvoldoende</w:t>
            </w:r>
          </w:p>
        </w:tc>
        <w:tc>
          <w:tcPr>
            <w:tcW w:type="dxa" w:w="225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Voldoende</w:t>
            </w:r>
          </w:p>
        </w:tc>
        <w:tc>
          <w:tcPr>
            <w:tcW w:type="dxa" w:w="225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Goed</w:t>
            </w:r>
          </w:p>
        </w:tc>
      </w:tr>
      <w:tr>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Beslissing herkennen</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Modelleert oordeelswerk als proces</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Herkent het onderscheid in eenduidige gevallen</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Herkent het onderscheid ook bij verhulde tijdsverwijzingen (zoals opdracht 1.3)</w:t>
            </w:r>
          </w:p>
        </w:tc>
      </w:tr>
      <w:tr>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DRD</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Ontbrekende of foutieve requirements</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Correcte DRD met alle vier elementtypen</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Correcte DRD, knowledge source functioneel toegepast</w:t>
            </w:r>
          </w:p>
        </w:tc>
      </w:tr>
      <w:tr>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Beslistabel</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Onvolledig, ongemotiveerd ingevuld</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Volledig, summier gemotiveerd</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Volledig, expliciet gemotiveerd, overlap zelf gecontroleerd</w:t>
            </w:r>
          </w:p>
        </w:tc>
      </w:tr>
      <w:tr>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Hit policy</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Kiest willekeurig</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Kiest passend in eenduidige gevallen</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Beargumenteert waarom niet de andere zes pasten</w:t>
            </w:r>
          </w:p>
        </w:tc>
      </w:tr>
    </w:tbl>
    <w:p>
      <w:pPr>
        <w:spacing w:before="200"/>
      </w:pPr>
    </w:p>
    <w:p>
      <w:pPr>
        <w:pStyle w:val="Heading2"/>
        <w:pBdr>
          <w:bottom w:val="single" w:color="2563A8" w:sz="6" w:space="4"/>
        </w:pBdr>
        <w:spacing w:after="160" w:before="300"/>
      </w:pPr>
      <w:r>
        <w:rPr>
          <w:rFonts w:ascii="Calibri" w:cs="Calibri" w:eastAsia="Calibri" w:hAnsi="Calibri"/>
          <w:b/>
          <w:bCs/>
          <w:color w:val="2563A8"/>
          <w:sz w:val="24"/>
          <w:szCs w:val="24"/>
        </w:rPr>
        <w:t xml:space="preserve">Benodigdheden</w:t>
      </w:r>
    </w:p>
    <w:p>
      <w:pPr>
        <w:spacing w:after="160" w:line="300"/>
        <w:jc w:val="left"/>
      </w:pPr>
      <w:r>
        <w:rPr>
          <w:rFonts w:ascii="Calibri" w:cs="Calibri" w:eastAsia="Calibri" w:hAnsi="Calibri"/>
          <w:b w:val="false"/>
          <w:bCs w:val="false"/>
          <w:i w:val="false"/>
          <w:iCs w:val="false"/>
          <w:color w:val="1A1A1A"/>
          <w:sz w:val="21"/>
          <w:szCs w:val="21"/>
        </w:rPr>
        <w:t xml:space="preserve">Werkboek per deelnemer, toegang tot Conductus, DMN-XML referentiemodel voor opdracht 2 beschikbaar voor import.</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5"/>
        <w:szCs w:val="15"/>
      </w:rPr>
      <w:t xml:space="preserve">BPMN, CMMN &amp; DMN — </w:t>
    </w:r>
    <w:r>
      <w:rPr>
        <w:rFonts w:ascii="Calibri" w:cs="Calibri" w:eastAsia="Calibri" w:hAnsi="Calibri"/>
        <w:color w:val="6B7280"/>
        <w:sz w:val="15"/>
        <w:szCs w:val="15"/>
      </w:rPr>
      <w:t xml:space="preserve">pagina </w:t>
    </w:r>
    <w:r>
      <w:rPr>
        <w:rFonts w:ascii="Calibri" w:cs="Calibri" w:eastAsia="Calibri" w:hAnsi="Calibri"/>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6"/>
        <w:szCs w:val="16"/>
      </w:rPr>
      <w:t xml:space="preserve">Deel 6 · Docentenhandleiding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2026-08-17T15:44:20.565Z</dcterms:created>
  <dcterms:modified xsi:type="dcterms:W3CDTF">2026-08-17T15:44:20.566Z</dcterms:modified>
</cp:coreProperties>
</file>

<file path=docProps/custom.xml><?xml version="1.0" encoding="utf-8"?>
<Properties xmlns="http://schemas.openxmlformats.org/officeDocument/2006/custom-properties" xmlns:vt="http://schemas.openxmlformats.org/officeDocument/2006/docPropsVTypes"/>
</file>