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1 — Fundament · Deel 7</w:t>
      </w:r>
    </w:p>
    <w:p>
      <w:pPr>
        <w:spacing w:after="300"/>
      </w:pPr>
      <w:r>
        <w:rPr>
          <w:rFonts w:ascii="Calibri" w:cs="Calibri" w:eastAsia="Calibri" w:hAnsi="Calibri"/>
          <w:b/>
          <w:bCs/>
          <w:color w:val="14213D"/>
          <w:sz w:val="34"/>
          <w:szCs w:val="34"/>
        </w:rPr>
        <w:t xml:space="preserve">Werkboek — CMMN basis</w:t>
      </w:r>
    </w:p>
    <w:p>
      <w:pPr>
        <w:spacing w:after="160" w:line="300"/>
        <w:jc w:val="left"/>
      </w:pPr>
      <w:r>
        <w:rPr>
          <w:rFonts w:ascii="Calibri" w:cs="Calibri" w:eastAsia="Calibri" w:hAnsi="Calibri"/>
          <w:b w:val="false"/>
          <w:bCs w:val="false"/>
          <w:i w:val="false"/>
          <w:iCs w:val="false"/>
          <w:color w:val="1A1A1A"/>
          <w:sz w:val="21"/>
          <w:szCs w:val="21"/>
        </w:rPr>
        <w:t xml:space="preserve">Werk de opdrachten in volgorde. Opdracht 1 en 2 individueel, opdracht 3 (modelleren) individueel in Conductus, opdracht 4 in tweetallen, opdracht 5 individueel, opdracht 6 plenair. Reken op ± 3 uur.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Case of proces?</w:t>
      </w:r>
    </w:p>
    <w:p>
      <w:pPr>
        <w:spacing w:after="160" w:line="300"/>
        <w:jc w:val="left"/>
      </w:pPr>
      <w:r>
        <w:rPr>
          <w:rFonts w:ascii="Calibri" w:cs="Calibri" w:eastAsia="Calibri" w:hAnsi="Calibri"/>
          <w:b w:val="false"/>
          <w:bCs w:val="false"/>
          <w:i w:val="false"/>
          <w:iCs w:val="false"/>
          <w:color w:val="1A1A1A"/>
          <w:sz w:val="21"/>
          <w:szCs w:val="21"/>
        </w:rPr>
        <w:t xml:space="preserve">Voor elk fragment: hoort dit in CMMN, in BPMN, of in een combinatie? Motiveer met het onderscheid uit §7.1.</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openen en behandelen van een dossier bij een letselschadezaak, waarbij de volgorde van medisch onderzoek, aansprakelijkheidsbeoordeling en schaderegeling per zaak sterk verschilt.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versturen van een standaardbevestiging zodra een aanvraag is ontvangen.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begeleiden van een deelnemer bij vervroegde uittreding: er is een vaste set gesprekken en berekeningen, maar de volgorde en het aantal gesprekken hangt af van de complexiteit van de persoonlijke situatie.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maandelijks incassobestand aanmaken.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nabestaandenzaak met meerdere mogelijke erfgenamen, waarbij de behandelaar per geval bepaalt welke onderzoeken nodig zijn.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Herken de elementen</w:t>
      </w:r>
    </w:p>
    <w:p>
      <w:pPr>
        <w:spacing w:after="160" w:line="300"/>
        <w:jc w:val="left"/>
      </w:pPr>
      <w:r>
        <w:rPr>
          <w:rFonts w:ascii="Calibri" w:cs="Calibri" w:eastAsia="Calibri" w:hAnsi="Calibri"/>
          <w:b w:val="false"/>
          <w:bCs w:val="false"/>
          <w:i w:val="false"/>
          <w:iCs w:val="false"/>
          <w:color w:val="1A1A1A"/>
          <w:sz w:val="21"/>
          <w:szCs w:val="21"/>
        </w:rPr>
        <w:t xml:space="preserve">Bij een gegeven casemodel-afbeelding (klachtbehandeling Meridiaan, aangeleverd als export): benoem voor tien gemarkeerde elementen wat ze zijn (stage, task-type, milestone, sentry, discretionary item, decorator) en wat hun functie in dit specifieke model is.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Modelleer een eerste casemodel</w:t>
      </w:r>
    </w:p>
    <w:p>
      <w:pPr>
        <w:spacing w:after="160" w:line="300"/>
        <w:jc w:val="left"/>
      </w:pPr>
      <w:r>
        <w:rPr>
          <w:rFonts w:ascii="Calibri" w:cs="Calibri" w:eastAsia="Calibri" w:hAnsi="Calibri"/>
          <w:b w:val="false"/>
          <w:bCs w:val="false"/>
          <w:i w:val="false"/>
          <w:iCs w:val="false"/>
          <w:color w:val="1A1A1A"/>
          <w:sz w:val="21"/>
          <w:szCs w:val="21"/>
        </w:rPr>
        <w:t xml:space="preserve">Modelleer in Conductus een casemodel voor </w:t>
      </w:r>
      <w:r>
        <w:rPr>
          <w:rFonts w:ascii="Calibri" w:cs="Calibri" w:eastAsia="Calibri" w:hAnsi="Calibri"/>
          <w:b w:val="false"/>
          <w:bCs w:val="false"/>
          <w:i/>
          <w:iCs/>
          <w:color w:val="1A1A1A"/>
          <w:sz w:val="21"/>
          <w:szCs w:val="21"/>
        </w:rPr>
        <w:t xml:space="preserve">Klachtbehandeling</w:t>
      </w:r>
      <w:r>
        <w:rPr>
          <w:rFonts w:ascii="Calibri" w:cs="Calibri" w:eastAsia="Calibri" w:hAnsi="Calibri"/>
          <w:b w:val="false"/>
          <w:bCs w:val="false"/>
          <w:i w:val="false"/>
          <w:iCs w:val="false"/>
          <w:color w:val="1A1A1A"/>
          <w:sz w:val="21"/>
          <w:szCs w:val="21"/>
        </w:rPr>
        <w:t xml:space="preserve"> bij Meridiaan, op basis van dit gegeven:</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Een klacht komt binnen en wordt geopend als case. Vaste onderdelen: het dossier opvragen bij de polisadministratie, en de klacht uiteindelijk afhandelen met een reactie aan de deelnemer (dit laatste is verplicht voor afsluiting van de case). Discretionair beschikbaar, naar inzicht van de behandelaar: contact opnemen met de deelnemer, een herberekening aanvragen, juridisch advies inwinnen. Zodra het dossier is opgevraagd, wordt de milestone "dossier compleet" bereikt. Als na de eerste beoordeling blijkt dat de klacht een juridisch precedent raakt (een gegeven dat in het case file wordt vastgelegd), komt "Juridisch advies inwinnen" niet langer alleen discretionair beschikbaar maar wordt het verplicht voordat de case mag worden afgesloten.</w:t>
            </w:r>
          </w:p>
        </w:tc>
      </w:tr>
    </w:tbl>
    <w:p>
      <w:pPr>
        <w:spacing w:after="160" w:line="300"/>
        <w:jc w:val="left"/>
      </w:pPr>
      <w:r>
        <w:rPr>
          <w:rFonts w:ascii="Calibri" w:cs="Calibri" w:eastAsia="Calibri" w:hAnsi="Calibri"/>
          <w:b w:val="false"/>
          <w:bCs w:val="false"/>
          <w:i w:val="false"/>
          <w:iCs w:val="false"/>
          <w:color w:val="1A1A1A"/>
          <w:sz w:val="21"/>
          <w:szCs w:val="21"/>
        </w:rPr>
        <w:t xml:space="preserve">Werk uit: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case file met minstens drie case file items.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Twee stages of, indien je zonder stages werkt, motiveer waarom een platte structuur hier volstaat.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Alle vier de taaktypen hoeven niet voor te komen — gebruik alleen wat het scenario vraagt, en benoem in een aantekening welke taaktypen je bewust niet gebruikt hebt en waarom.</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Minimaal twee sentries, waarvan één met een if-part gebaseerd op het case file item dat het juridisch precedent aangeeft.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decorator-gebruik: welk element krijgt required, welk repetition, is er reden voor manual activation of auto-complete?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Volg twee dossiers *(tweetallen)*</w:t>
      </w:r>
    </w:p>
    <w:p>
      <w:pPr>
        <w:spacing w:after="160" w:line="300"/>
        <w:jc w:val="left"/>
      </w:pPr>
      <w:r>
        <w:rPr>
          <w:rFonts w:ascii="Calibri" w:cs="Calibri" w:eastAsia="Calibri" w:hAnsi="Calibri"/>
          <w:b w:val="false"/>
          <w:bCs w:val="false"/>
          <w:i w:val="false"/>
          <w:iCs w:val="false"/>
          <w:color w:val="1A1A1A"/>
          <w:sz w:val="21"/>
          <w:szCs w:val="21"/>
        </w:rPr>
        <w:t xml:space="preserve">Neem het model uit opdracht 3. Beschrijf voor twee verschillende, denkbeeldige klachtdossiers welk pad ze door het model volgen:</w:t>
      </w:r>
    </w:p>
    <w:p>
      <w:pPr>
        <w:spacing w:after="160" w:line="300"/>
        <w:jc w:val="left"/>
      </w:pPr>
      <w:r>
        <w:rPr>
          <w:rFonts w:ascii="Calibri" w:cs="Calibri" w:eastAsia="Calibri" w:hAnsi="Calibri"/>
          <w:b/>
          <w:bCs/>
          <w:i w:val="false"/>
          <w:iCs w:val="false"/>
          <w:color w:val="1A1A1A"/>
          <w:sz w:val="21"/>
          <w:szCs w:val="21"/>
        </w:rPr>
        <w:t xml:space="preserve">Dossier A</w:t>
      </w:r>
      <w:r>
        <w:rPr>
          <w:rFonts w:ascii="Calibri" w:cs="Calibri" w:eastAsia="Calibri" w:hAnsi="Calibri"/>
          <w:b w:val="false"/>
          <w:bCs w:val="false"/>
          <w:i w:val="false"/>
          <w:iCs w:val="false"/>
          <w:color w:val="1A1A1A"/>
          <w:sz w:val="21"/>
          <w:szCs w:val="21"/>
        </w:rPr>
        <w:t xml:space="preserve"> — een eenvoudige klacht over een rekenfout, snel opgehelderd, geen juridisch precedent.</w:t>
      </w:r>
    </w:p>
    <w:p>
      <w:pPr>
        <w:spacing w:after="160" w:line="300"/>
        <w:jc w:val="left"/>
      </w:pPr>
      <w:r>
        <w:rPr>
          <w:rFonts w:ascii="Calibri" w:cs="Calibri" w:eastAsia="Calibri" w:hAnsi="Calibri"/>
          <w:b/>
          <w:bCs/>
          <w:i w:val="false"/>
          <w:iCs w:val="false"/>
          <w:color w:val="1A1A1A"/>
          <w:sz w:val="21"/>
          <w:szCs w:val="21"/>
        </w:rPr>
        <w:t xml:space="preserve">Dossier B</w:t>
      </w:r>
      <w:r>
        <w:rPr>
          <w:rFonts w:ascii="Calibri" w:cs="Calibri" w:eastAsia="Calibri" w:hAnsi="Calibri"/>
          <w:b w:val="false"/>
          <w:bCs w:val="false"/>
          <w:i w:val="false"/>
          <w:iCs w:val="false"/>
          <w:color w:val="1A1A1A"/>
          <w:sz w:val="21"/>
          <w:szCs w:val="21"/>
        </w:rPr>
        <w:t xml:space="preserve"> — een klacht die na het opvragen van het dossier blijkt te raken aan een juridisch precedent.</w:t>
      </w:r>
    </w:p>
    <w:p>
      <w:pPr>
        <w:spacing w:after="160" w:line="300"/>
        <w:jc w:val="left"/>
      </w:pPr>
      <w:r>
        <w:rPr>
          <w:rFonts w:ascii="Calibri" w:cs="Calibri" w:eastAsia="Calibri" w:hAnsi="Calibri"/>
          <w:b w:val="false"/>
          <w:bCs w:val="false"/>
          <w:i w:val="false"/>
          <w:iCs w:val="false"/>
          <w:color w:val="1A1A1A"/>
          <w:sz w:val="21"/>
          <w:szCs w:val="21"/>
        </w:rPr>
        <w:t xml:space="preserve">Beschrijf per dossier: welke elementen worden geactiveerd, in welke volgorde (voor zover die er is), en welke discretionary items wel of niet worden ingezet. Bevestig aan het eind: doorlopen beide dossiers hetzelfde model, ondanks een volledig ander pad?</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Decorators toepassen</w:t>
      </w:r>
    </w:p>
    <w:p>
      <w:pPr>
        <w:spacing w:after="160" w:line="300"/>
        <w:jc w:val="left"/>
      </w:pPr>
      <w:r>
        <w:rPr>
          <w:rFonts w:ascii="Calibri" w:cs="Calibri" w:eastAsia="Calibri" w:hAnsi="Calibri"/>
          <w:b w:val="false"/>
          <w:bCs w:val="false"/>
          <w:i w:val="false"/>
          <w:iCs w:val="false"/>
          <w:color w:val="1A1A1A"/>
          <w:sz w:val="21"/>
          <w:szCs w:val="21"/>
        </w:rPr>
        <w:t xml:space="preserve">Voor elk scenario: welke decorator (of combinatie) is nodig?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taak "Documenten opvragen" die bij een complex dossier meerdere keren nodig kan zijn.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taak "Eindgesprek voeren" die verplicht is voordat de case als afgerond geldt.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taak die pas start nadat de behandelaar een knop indrukt, ook al is aan de sentry-voorwaarde al voldaan.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stage die zichzelf afsluit zodra de verplichte onderdelen klaar zijn, ook al staat er nog een niet-verplicht onderdeel open.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Stellingen *(plenair)*</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Een discretionary item is in feite een vrijbrief voor de behandelaar om het model te negeren.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Een casemodel met te veel discretionary items is voor de behandelaar net zo onwerkbaar als een BPMN-model met te veel gateways.</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CMMN is vooral geschikt voor werk waar toezichthouders (zoals DNB) om herleidbaarheid vragen — juist omdat de milestones en sentries traceerbaar maken wat er gebeurde, zonder een vast pad op te leggen.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Omdat CMMN minder breed ondersteund wordt door platformen, is de kans groot dat je in de praktijk casewerk toch in BPMN modelleert, met alle nadelen van dien.</w:t>
      </w:r>
    </w:p>
    <w:p>
      <w:pPr>
        <w:pStyle w:val="Heading2"/>
        <w:pBdr>
          <w:bottom w:val="single" w:color="2563A8" w:sz="6" w:space="4"/>
        </w:pBdr>
        <w:spacing w:after="160" w:before="300"/>
      </w:pPr>
      <w:r>
        <w:rPr>
          <w:rFonts w:ascii="Calibri" w:cs="Calibri" w:eastAsia="Calibri" w:hAnsi="Calibri"/>
          <w:b/>
          <w:bCs/>
          <w:color w:val="2563A8"/>
          <w:sz w:val="24"/>
          <w:szCs w:val="24"/>
        </w:rPr>
        <w:t xml:space="preserve">Vooruitblik</w:t>
      </w:r>
    </w:p>
    <w:p>
      <w:pPr>
        <w:spacing w:after="160" w:line="300"/>
        <w:jc w:val="left"/>
      </w:pPr>
      <w:r>
        <w:rPr>
          <w:rFonts w:ascii="Calibri" w:cs="Calibri" w:eastAsia="Calibri" w:hAnsi="Calibri"/>
          <w:b w:val="false"/>
          <w:bCs w:val="false"/>
          <w:i w:val="false"/>
          <w:iCs w:val="false"/>
          <w:color w:val="1A1A1A"/>
          <w:sz w:val="21"/>
          <w:szCs w:val="21"/>
        </w:rPr>
        <w:t xml:space="preserve">Deel 8 zet de drie talen naast elkaar: de keuzeboom, de koppelpunten, en de antipatronen die ontstaan als je de verkeerde taal kiest of de talen verkeerd combineert. Neem je casemodel uit opdracht 3 mee — dat wordt in deel 8 gebruikt om te laten zien hoe een process task naar het BPMN-model van deel 3-5 kan verwijzen.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7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2026-08-17T15:44:21.410Z</dcterms:created>
  <dcterms:modified xsi:type="dcterms:W3CDTF">2026-08-17T15:44:21.411Z</dcterms:modified>
</cp:coreProperties>
</file>

<file path=docProps/custom.xml><?xml version="1.0" encoding="utf-8"?>
<Properties xmlns="http://schemas.openxmlformats.org/officeDocument/2006/custom-properties" xmlns:vt="http://schemas.openxmlformats.org/officeDocument/2006/docPropsVTypes"/>
</file>