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1 — Fundament · Deel 8</w:t>
      </w:r>
    </w:p>
    <w:p>
      <w:pPr>
        <w:spacing w:after="300"/>
      </w:pPr>
      <w:r>
        <w:rPr>
          <w:rFonts w:ascii="Calibri" w:cs="Calibri" w:eastAsia="Calibri" w:hAnsi="Calibri"/>
          <w:b/>
          <w:bCs/>
          <w:color w:val="14213D"/>
          <w:sz w:val="32"/>
          <w:szCs w:val="32"/>
        </w:rPr>
        <w:t xml:space="preserve">Docentenhandleiding — De drie talen samen</w:t>
      </w:r>
    </w:p>
    <w:p>
      <w:pPr>
        <w:pStyle w:val="Heading2"/>
        <w:pBdr>
          <w:bottom w:val="single" w:color="2563A8" w:sz="6" w:space="4"/>
        </w:pBdr>
        <w:spacing w:after="160" w:before="300"/>
      </w:pPr>
      <w:r>
        <w:rPr>
          <w:rFonts w:ascii="Calibri" w:cs="Calibri" w:eastAsia="Calibri" w:hAnsi="Calibri"/>
          <w:b/>
          <w:bCs/>
          <w:color w:val="2563A8"/>
          <w:sz w:val="24"/>
          <w:szCs w:val="24"/>
        </w:rPr>
        <w:t xml:space="preserve">Doel en positie</w:t>
      </w:r>
    </w:p>
    <w:p>
      <w:pPr>
        <w:spacing w:after="160" w:line="300"/>
        <w:jc w:val="left"/>
      </w:pPr>
      <w:r>
        <w:rPr>
          <w:rFonts w:ascii="Calibri" w:cs="Calibri" w:eastAsia="Calibri" w:hAnsi="Calibri"/>
          <w:b w:val="false"/>
          <w:bCs w:val="false"/>
          <w:i w:val="false"/>
          <w:iCs w:val="false"/>
          <w:color w:val="1A1A1A"/>
          <w:sz w:val="21"/>
          <w:szCs w:val="21"/>
        </w:rPr>
        <w:t xml:space="preserve">Het integratiedeel van niveau 1. Alles wat in deel 1 tot en met 7 los werd behandeld, komt hier samen. Dit is ook het deel waar zwakke plekken uit eerdere delen zichtbaar worden: een deelnemer die de keuzeboom niet vlot kan toepassen, heeft waarschijnlijk de scheiding van zorgen uit deel 1 nog niet volledig doorleefd. Gebruik dit deel dus ook als diagnostisch moment vóór de examentraining in deel 10.</w:t>
      </w:r>
    </w:p>
    <w:p>
      <w:pPr>
        <w:spacing w:after="160" w:line="300"/>
        <w:jc w:val="left"/>
      </w:pPr>
      <w:r>
        <w:rPr>
          <w:rFonts w:ascii="Calibri" w:cs="Calibri" w:eastAsia="Calibri" w:hAnsi="Calibri"/>
          <w:b w:val="false"/>
          <w:bCs w:val="false"/>
          <w:i w:val="false"/>
          <w:iCs w:val="false"/>
          <w:color w:val="1A1A1A"/>
          <w:sz w:val="21"/>
          <w:szCs w:val="21"/>
        </w:rPr>
        <w:t xml:space="preserve">Kernboodschap: de vaardigheid die telt is niet "ken ik BPMN, DMN en CMMN elk goed", maar "herken ik welk deel van een probleem bij welke taal hoort, en kan ik ze correct koppelen". Dat is een hogere-orde vaardigheid dan de losse delen toetsten, en verdient behandeling als zodanig.</w:t>
      </w:r>
    </w:p>
    <w:p>
      <w:pPr>
        <w:pStyle w:val="Heading2"/>
        <w:pBdr>
          <w:bottom w:val="single" w:color="2563A8" w:sz="6" w:space="4"/>
        </w:pBdr>
        <w:spacing w:after="160" w:before="300"/>
      </w:pPr>
      <w:r>
        <w:rPr>
          <w:rFonts w:ascii="Calibri" w:cs="Calibri" w:eastAsia="Calibri" w:hAnsi="Calibri"/>
          <w:b/>
          <w:bCs/>
          <w:color w:val="2563A8"/>
          <w:sz w:val="24"/>
          <w:szCs w:val="24"/>
        </w:rPr>
        <w:t xml:space="preserve">Tijdschema (dagdeel van 3,5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0:10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Terugblik deel 1-7, programma</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0:10 – 0:30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 keuzeboom (§8.1)</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8.1</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0:30 – 0:50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plenair nabespreken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0:50 – 1:10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 vier koppelpunten (§8.2)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8.2 en 8.3</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1:10 – 1:25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1:25 – 2:05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 in Conductus</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2:05 – 2:25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Ad-hoc versus casemodel (§8.3)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8.4</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2:25 – 2:50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3</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Tweetallen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2:50 – 3:05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3:05 – 3:25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Drie antipatronen (§8.4) — opdracht 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 individueel</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3:25 – 3:35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§8.5 kort, opdracht 5, vooruitblik</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Bij tijdsdruk: laat opdracht 5 (stellingen) vervallen. Laat opdracht 2 (koppelen in Conductus) nooit inkorten — dit is de enige opdracht in het hele niveau waar deelnemers daadwerkelijk drie modellen aan elkaar verbinden, en dat is precies de vaardigheid die deel 10's capstone vereist.</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Doorloop de keuzeboom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Vraag 1 (tijdloos?)</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Vraag 2 (vaste volgorde?)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Uitkomst</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Ja</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DMN</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Nee</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Nee</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CMMN</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Nee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Ja</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BPMN</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4</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Ja</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DMN (binnen de case aangeroepen via decision task)</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5</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Nee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Nee (behandelaar bepaalt timing)</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CMMN — discretionary item</w:t>
            </w:r>
          </w:p>
        </w:tc>
      </w:tr>
    </w:tbl>
    <w:p>
      <w:pPr>
        <w:spacing w:before="200"/>
      </w:pPr>
    </w:p>
    <w:p>
      <w:pPr>
        <w:spacing w:after="160" w:line="300"/>
        <w:jc w:val="left"/>
      </w:pPr>
      <w:r>
        <w:rPr>
          <w:rFonts w:ascii="Calibri" w:cs="Calibri" w:eastAsia="Calibri" w:hAnsi="Calibri"/>
          <w:b/>
          <w:bCs/>
          <w:i w:val="false"/>
          <w:iCs w:val="false"/>
          <w:color w:val="1A1A1A"/>
          <w:sz w:val="21"/>
          <w:szCs w:val="21"/>
        </w:rPr>
        <w:t xml:space="preserve">Bespreekpunt.</w:t>
      </w:r>
      <w:r>
        <w:rPr>
          <w:rFonts w:ascii="Calibri" w:cs="Calibri" w:eastAsia="Calibri" w:hAnsi="Calibri"/>
          <w:b w:val="false"/>
          <w:bCs w:val="false"/>
          <w:i w:val="false"/>
          <w:iCs w:val="false"/>
          <w:color w:val="1A1A1A"/>
          <w:sz w:val="21"/>
          <w:szCs w:val="21"/>
        </w:rPr>
        <w:t xml:space="preserve"> Fragment 2, 4 en 5 horen inhoudelijk bij elkaar (dezelfde nabestaandenzaak) en laten zien hoe binnen één dossier alle drie de talen tegelijk nodig zijn — precies de opbouw die opdracht 2 laat oefenen.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Koppel je modellen</w:t>
      </w:r>
    </w:p>
    <w:p>
      <w:pPr>
        <w:spacing w:after="160" w:line="300"/>
        <w:jc w:val="left"/>
      </w:pPr>
      <w:r>
        <w:rPr>
          <w:rFonts w:ascii="Calibri" w:cs="Calibri" w:eastAsia="Calibri" w:hAnsi="Calibri"/>
          <w:b w:val="false"/>
          <w:bCs w:val="false"/>
          <w:i w:val="false"/>
          <w:iCs w:val="false"/>
          <w:color w:val="1A1A1A"/>
          <w:sz w:val="21"/>
          <w:szCs w:val="21"/>
        </w:rPr>
        <w:t xml:space="preserve">Geen uniek modelantwoord. Beoordeel op:</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Is het discretionary item correct vervangen door een process task (niet per ongeluk een gewone human task gebleven)?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Verwijst de process task daadwerkelijk naar een apart, functionerend BPMN-model met de gevraagde drie activiteiten?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Bevat dat BPMN-model een business rule task die naar een DMN-decision verwijst, en is dat koppelpunt herkenbaar (niet zomaar een gewone service task met dezelfde naam)?</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Is het documentatieschema volledig: alle koppelpunten benoemd, met een motivatie waarom dit koppelpunttype en niet een van de andere drie?</w:t>
      </w:r>
    </w:p>
    <w:p>
      <w:pPr>
        <w:spacing w:after="160" w:line="300"/>
        <w:jc w:val="left"/>
      </w:pPr>
      <w:r>
        <w:rPr>
          <w:rFonts w:ascii="Calibri" w:cs="Calibri" w:eastAsia="Calibri" w:hAnsi="Calibri"/>
          <w:b/>
          <w:bCs/>
          <w:i w:val="false"/>
          <w:iCs w:val="false"/>
          <w:color w:val="1A1A1A"/>
          <w:sz w:val="21"/>
          <w:szCs w:val="21"/>
        </w:rPr>
        <w:t xml:space="preserve">Veelgemaakte fout.</w:t>
      </w:r>
      <w:r>
        <w:rPr>
          <w:rFonts w:ascii="Calibri" w:cs="Calibri" w:eastAsia="Calibri" w:hAnsi="Calibri"/>
          <w:b w:val="false"/>
          <w:bCs w:val="false"/>
          <w:i w:val="false"/>
          <w:iCs w:val="false"/>
          <w:color w:val="1A1A1A"/>
          <w:sz w:val="21"/>
          <w:szCs w:val="21"/>
        </w:rPr>
        <w:t xml:space="preserve"> Deelnemers vervangen soms het discretionary item volledig door een gewoon (verplicht) element, waarmee de discretie verloren gaat — controleer expliciet dat de process task nog steeds discretionair beschikbaar is, alleen de </w:t>
      </w:r>
      <w:r>
        <w:rPr>
          <w:rFonts w:ascii="Calibri" w:cs="Calibri" w:eastAsia="Calibri" w:hAnsi="Calibri"/>
          <w:b w:val="false"/>
          <w:bCs w:val="false"/>
          <w:i/>
          <w:iCs/>
          <w:color w:val="1A1A1A"/>
          <w:sz w:val="21"/>
          <w:szCs w:val="21"/>
        </w:rPr>
        <w:t xml:space="preserve">inhoud</w:t>
      </w:r>
      <w:r>
        <w:rPr>
          <w:rFonts w:ascii="Calibri" w:cs="Calibri" w:eastAsia="Calibri" w:hAnsi="Calibri"/>
          <w:b w:val="false"/>
          <w:bCs w:val="false"/>
          <w:i w:val="false"/>
          <w:iCs w:val="false"/>
          <w:color w:val="1A1A1A"/>
          <w:sz w:val="21"/>
          <w:szCs w:val="21"/>
        </w:rPr>
        <w:t xml:space="preserve"> ervan is nu een verwijzing naar een BPMN-proces in plaats van een losse human task.</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Ad-hoc of case?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Antwoord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Toelichting</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Ad-hoc subprocess</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Klein, tijdelijk, ingebed in een verder gestructureerd proces met vast begin/eind, binnen één sessie door één persoon.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Casemodel</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Lange looptijd, meerdere behandelaars, evoluerende scope — alle signalen uit §8.3 wijzen op CMMN.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Ad-hoc subprocess</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Vergelijkbaar met 1: lokale vrijheid binnen een verder vast proces, geen eigen levenscyclus.</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Casemodel</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Onvoorspelbare omvang en duur, uiteenlopende vervolgacties — geen vast proces waarbinnen dit als eiland past.</w:t>
            </w:r>
          </w:p>
        </w:tc>
      </w:tr>
    </w:tbl>
    <w:p>
      <w:pPr>
        <w:spacing w:before="200"/>
      </w:pPr>
    </w:p>
    <w:p>
      <w:pPr>
        <w:spacing w:after="160" w:line="300"/>
        <w:jc w:val="left"/>
      </w:pPr>
      <w:r>
        <w:rPr>
          <w:rFonts w:ascii="Calibri" w:cs="Calibri" w:eastAsia="Calibri" w:hAnsi="Calibri"/>
          <w:b/>
          <w:bCs/>
          <w:i w:val="false"/>
          <w:iCs w:val="false"/>
          <w:color w:val="1A1A1A"/>
          <w:sz w:val="21"/>
          <w:szCs w:val="21"/>
        </w:rPr>
        <w:t xml:space="preserve">Bespreekpunt.</w:t>
      </w:r>
      <w:r>
        <w:rPr>
          <w:rFonts w:ascii="Calibri" w:cs="Calibri" w:eastAsia="Calibri" w:hAnsi="Calibri"/>
          <w:b w:val="false"/>
          <w:bCs w:val="false"/>
          <w:i w:val="false"/>
          <w:iCs w:val="false"/>
          <w:color w:val="1A1A1A"/>
          <w:sz w:val="21"/>
          <w:szCs w:val="21"/>
        </w:rPr>
        <w:t xml:space="preserve"> Situatie 3 is bewust dicht bij situatie 1 geplaatst om te laten zien dat de vuistregel niet draait om het aantal activiteiten maar om de context eromheen — beide situaties hebben een vergelijkbaar klein blok vrije volgorde, en toch is het antwoord in beide gevallen ad-hoc, wat kan verwarren als deelnemers denken dat "meer activiteiten zonder volgorde" richting CMMN wijst. Dat is niet het criterium.</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Vind het antipatroon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Fragment</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Antipatroon</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Herziening</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Zeven exclusive gateways in een keten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Beslislogica in gateways</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Vervang door één business rule task met een beslistabel die de zeven condities combineert; de gateway na de business rule task routeert dan alleen nog op de uitkomst.</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Kruisende flows, niveaus door elkaar</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Spaghettidiagram</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Splits in een landschapsplaat en een apart procesniveau-diagram (§5.1); herorden elementen consistent van links naar rechts.</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CMMN met uitsluitend sequentiële entry criteria, geen discretionary items</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CMMN als slordige BPMN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Herbeoordeel of dit eigenlijk een BPMN-proces had moeten zijn, of voeg daadwerkelijke discretie toe als het dossierkarakter wel degelijk aanwezig is maar niet gemodelleerd.</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Stellingen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Sterk verdedigbaar — sluit aan bij de gelaagde herziening die in deel 5 al werd geoefend (structureel/semantisch/stilistisch controleren, niet eenmalig maar doorlopend). Hier: de taalkeuze zelf ook doorlopend herzien, niet eenmalig vastzetten.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Plausibel maar niet bewezen binnen dit programma — een goede aanleiding om te bespreken dat dit precies de vaardigheid is die niveau 2 (deel 18: combinatiepatronen) verder uitbouwt.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Realistisch punt, met een waarschuwing: een ad-hoc subprocess "omdat de tooling er nog niet klaar voor is" is een pragmatische, tijdelijke keuze — geen reden om de vuistregel uit §8.3 los te laten bij het beoordelen wat het model écht zou moeten zijn.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Prikkelend en het waard om tegen te spreken: drie talen nodig hebben is precies wat scheiding van zorgen (deel 1, §1.2) beoogt — het is een teken van goed ontworpen scheiding, niet van onnodige complexiteit. Onnodige complexiteit zou zijn: een taal gebruiken op een plek waar het niet past (de antipatronen van dit deel).</w:t>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Veelgemaakte fouten in dit deel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De keuzeboom als eenmalige beslissing behandelen</w:t>
      </w:r>
      <w:r>
        <w:rPr>
          <w:rFonts w:ascii="Calibri" w:cs="Calibri" w:eastAsia="Calibri" w:hAnsi="Calibri"/>
          <w:b w:val="false"/>
          <w:bCs w:val="false"/>
          <w:i w:val="false"/>
          <w:iCs w:val="false"/>
          <w:color w:val="1A1A1A"/>
          <w:sz w:val="21"/>
          <w:szCs w:val="21"/>
        </w:rPr>
        <w:t xml:space="preserve"> in plaats van als iets dat je op elk niveau van het model opnieuw toepast (zie stelling 1).</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Koppelpunten als louter technisch detail zien</w:t>
      </w:r>
      <w:r>
        <w:rPr>
          <w:rFonts w:ascii="Calibri" w:cs="Calibri" w:eastAsia="Calibri" w:hAnsi="Calibri"/>
          <w:b w:val="false"/>
          <w:bCs w:val="false"/>
          <w:i w:val="false"/>
          <w:iCs w:val="false"/>
          <w:color w:val="1A1A1A"/>
          <w:sz w:val="21"/>
          <w:szCs w:val="21"/>
        </w:rPr>
        <w:t xml:space="preserve"> in plaats van als architectuurkeuze — vraag bij opdracht 2 door naar de motivatie, niet alleen naar de technische correctheid.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Ad-hoc en case verwarren op basis van hoeveelheid</w:t>
      </w:r>
      <w:r>
        <w:rPr>
          <w:rFonts w:ascii="Calibri" w:cs="Calibri" w:eastAsia="Calibri" w:hAnsi="Calibri"/>
          <w:b w:val="false"/>
          <w:bCs w:val="false"/>
          <w:i w:val="false"/>
          <w:iCs w:val="false"/>
          <w:color w:val="1A1A1A"/>
          <w:sz w:val="21"/>
          <w:szCs w:val="21"/>
        </w:rPr>
        <w:t xml:space="preserve"> in plaats van op basis van de omringende context (zie het bespreekpunt bij opdracht 3).</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Antipatronen alleen herkennen als ze extreem zijn</w:t>
      </w:r>
      <w:r>
        <w:rPr>
          <w:rFonts w:ascii="Calibri" w:cs="Calibri" w:eastAsia="Calibri" w:hAnsi="Calibri"/>
          <w:b w:val="false"/>
          <w:bCs w:val="false"/>
          <w:i w:val="false"/>
          <w:iCs w:val="false"/>
          <w:color w:val="1A1A1A"/>
          <w:sz w:val="21"/>
          <w:szCs w:val="21"/>
        </w:rPr>
        <w:t xml:space="preserve"> (zeven gateways) maar niet in mildere vorm (drie gateways die samen een beoordeling doen) — benadruk dat de antipatronen een glijdende schaal zijn, geen aan/uit-schakelaar.</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Criterium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Goed</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Keuzeboom</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Kiest op gewoonte, niet op de drie vragen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Past de boom correct toe op eenduidige gevallen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Herkent gemengde situaties en splitst correct (zoals opdracht 1, fragment 2/4/5)</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Koppelpunten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Geen of technisch onjuiste koppeling</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Correcte koppeling, beperkte motivatie</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Correcte koppeling met heldere motivatie waarom dit koppelpunt en niet een ander</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Ad-hoc versus case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Beslist op hoeveelheid activiteiten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Beslist grotendeels correct met wisselende argumentatie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Beslist consistent op basis van de omringende context (§8.3)</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Antipatronen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Herkent alleen extreme gevallen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Herkent de drie antipatronen in duidelijke fragmenten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Herkent mildere vormen en stelt een concrete herziening voor</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Benodigdheden</w:t>
      </w:r>
    </w:p>
    <w:p>
      <w:pPr>
        <w:spacing w:after="160" w:line="300"/>
        <w:jc w:val="left"/>
      </w:pPr>
      <w:r>
        <w:rPr>
          <w:rFonts w:ascii="Calibri" w:cs="Calibri" w:eastAsia="Calibri" w:hAnsi="Calibri"/>
          <w:b w:val="false"/>
          <w:bCs w:val="false"/>
          <w:i w:val="false"/>
          <w:iCs w:val="false"/>
          <w:color w:val="1A1A1A"/>
          <w:sz w:val="21"/>
          <w:szCs w:val="21"/>
        </w:rPr>
        <w:t xml:space="preserve">Werkboek per deelnemer, toegang tot Conductus, het casemodel uit deel 7 en het BPMN-model uit deel 3-5 per deelnemer beschikbaar, modelfragmenten voor opdracht 4 als export.</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8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2026-08-17T15:44:22.641Z</dcterms:created>
  <dcterms:modified xsi:type="dcterms:W3CDTF">2026-08-17T15:44:22.642Z</dcterms:modified>
</cp:coreProperties>
</file>

<file path=docProps/custom.xml><?xml version="1.0" encoding="utf-8"?>
<Properties xmlns="http://schemas.openxmlformats.org/officeDocument/2006/custom-properties" xmlns:vt="http://schemas.openxmlformats.org/officeDocument/2006/docPropsVTypes"/>
</file>