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10</w:t>
      </w:r>
    </w:p>
    <w:p>
      <w:pPr>
        <w:spacing w:after="300"/>
      </w:pPr>
      <w:r>
        <w:rPr>
          <w:rFonts w:ascii="Calibri" w:cs="Calibri" w:eastAsia="Calibri" w:hAnsi="Calibri"/>
          <w:b/>
          <w:bCs/>
          <w:color w:val="14213D"/>
          <w:sz w:val="32"/>
          <w:szCs w:val="32"/>
        </w:rPr>
        <w:t xml:space="preserve">Docentenhandleiding — Examentraining en capstone</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afsluitende deel van niveau 1. Twee onderdelen met een verschillend karakter: de proefexamens toetsen individuele kennisreproductie onder tijdsdruk, de capstone toetst integratie en zelfstandige toepassing. Beide zijn nodig — een deelnemer kan de proefexamens goed maken en toch vastlopen bij de capstone (kennis zonder toepassingsvaardigheid), of omgekeerd sterk zijn in de capstone maar zich vastrijden op examentempo.</w:t>
      </w:r>
    </w:p>
    <w:p>
      <w:pPr>
        <w:spacing w:after="160" w:line="300"/>
        <w:jc w:val="left"/>
      </w:pPr>
      <w:r>
        <w:rPr>
          <w:rFonts w:ascii="Calibri" w:cs="Calibri" w:eastAsia="Calibri" w:hAnsi="Calibri"/>
          <w:b w:val="false"/>
          <w:bCs w:val="false"/>
          <w:i w:val="false"/>
          <w:iCs w:val="false"/>
          <w:color w:val="1A1A1A"/>
          <w:sz w:val="21"/>
          <w:szCs w:val="21"/>
        </w:rPr>
        <w:t xml:space="preserve">Dit deel beslaat normaliter meer dan één lesdag. Een indicatieve verdeling: één dagdeel voor de twee proefexamens met nabespreking, één tot twee dagdelen voor de capstone (deels zelfstandige verwerkingstijd buiten de les), en een afsluitende sessie voor peer review en plenaire terugkoppeling.</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1: proefexamens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niveau 1, examenblauwdruk (§10.1)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Aanpak van diagram-vragen (§10.2)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 – 1:05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Proefexamen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 (45 min, geen overleg)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1:05 – 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 – 1:50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 per vraag kort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1:50 – 2:00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Proefexamen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 focus op vragen met veel foute antwoorden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Introductie capstone-domein, vragen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2 (en verder): capstone</w:t>
      </w:r>
    </w:p>
    <w:p>
      <w:pPr>
        <w:spacing w:after="160" w:line="300"/>
        <w:jc w:val="left"/>
      </w:pPr>
      <w:r>
        <w:rPr>
          <w:rFonts w:ascii="Calibri" w:cs="Calibri" w:eastAsia="Calibri" w:hAnsi="Calibri"/>
          <w:b w:val="false"/>
          <w:bCs w:val="false"/>
          <w:i w:val="false"/>
          <w:iCs w:val="false"/>
          <w:color w:val="1A1A1A"/>
          <w:sz w:val="21"/>
          <w:szCs w:val="21"/>
        </w:rPr>
        <w:t xml:space="preserve">De capstone vergt doorgaans meer tijd dan één dagdeel biedt. Een werkbare indeling: een gezamenlijke start (analyse van het domein, keuzeboom toepassen, plenair de indeling in BPMN/DMN/CMMN-delen bespreken zodat iedereen van een gedeeld startpunt vertrekt), gevolgd door zelfstandige modelleertijd (in de les en/of als huiswerk), en een afsluitende sessie voor peer review en terugkoppeling.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Sessie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Start (45 min)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Domeinanalyse, keuzeboom toepassen, indeling bespreken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 met korte individuele voorbereiding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Modelleertijd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BPMN, DMN, CMMN modelleren, koppelpunten leggen, verantwoording schrijven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de les en zelfstandig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Afsluiting (60-90 min)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Peer review, plenaire terugkoppeling, vooruitblik niveau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dan 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proefexamens</w:t>
      </w:r>
    </w:p>
    <w:p>
      <w:pPr>
        <w:pStyle w:val="Heading2"/>
        <w:pBdr>
          <w:bottom w:val="single" w:color="2563A8" w:sz="6" w:space="4"/>
        </w:pBdr>
        <w:spacing w:after="160" w:before="300"/>
      </w:pPr>
      <w:r>
        <w:rPr>
          <w:rFonts w:ascii="Calibri" w:cs="Calibri" w:eastAsia="Calibri" w:hAnsi="Calibri"/>
          <w:b/>
          <w:bCs/>
          <w:color w:val="2563A8"/>
          <w:sz w:val="24"/>
          <w:szCs w:val="24"/>
        </w:rPr>
        <w:t xml:space="preserve">Toelichting per vraag, proefexamen 1</w:t>
      </w:r>
    </w:p>
    <w:p>
      <w:pPr>
        <w:spacing w:after="160" w:line="300"/>
        <w:jc w:val="left"/>
      </w:pPr>
      <w:r>
        <w:rPr>
          <w:rFonts w:ascii="Calibri" w:cs="Calibri" w:eastAsia="Calibri" w:hAnsi="Calibri"/>
          <w:b/>
          <w:bCs/>
          <w:i w:val="false"/>
          <w:iCs w:val="false"/>
          <w:color w:val="1A1A1A"/>
          <w:sz w:val="21"/>
          <w:szCs w:val="21"/>
        </w:rPr>
        <w:t xml:space="preserve">1-B.</w:t>
      </w:r>
      <w:r>
        <w:rPr>
          <w:rFonts w:ascii="Calibri" w:cs="Calibri" w:eastAsia="Calibri" w:hAnsi="Calibri"/>
          <w:b w:val="false"/>
          <w:bCs w:val="false"/>
          <w:i w:val="false"/>
          <w:iCs w:val="false"/>
          <w:color w:val="1A1A1A"/>
          <w:sz w:val="21"/>
          <w:szCs w:val="21"/>
        </w:rPr>
        <w:t xml:space="preserve"> De examendefinitie uit deel 2, §2.2, letterlijk getoetst. </w:t>
      </w:r>
      <w:r>
        <w:rPr>
          <w:rFonts w:ascii="Calibri" w:cs="Calibri" w:eastAsia="Calibri" w:hAnsi="Calibri"/>
          <w:b/>
          <w:bCs/>
          <w:i w:val="false"/>
          <w:iCs w:val="false"/>
          <w:color w:val="1A1A1A"/>
          <w:sz w:val="21"/>
          <w:szCs w:val="21"/>
        </w:rPr>
        <w:t xml:space="preserve">2-B.</w:t>
      </w:r>
      <w:r>
        <w:rPr>
          <w:rFonts w:ascii="Calibri" w:cs="Calibri" w:eastAsia="Calibri" w:hAnsi="Calibri"/>
          <w:b w:val="false"/>
          <w:bCs w:val="false"/>
          <w:i w:val="false"/>
          <w:iCs w:val="false"/>
          <w:color w:val="1A1A1A"/>
          <w:sz w:val="21"/>
          <w:szCs w:val="21"/>
        </w:rPr>
        <w:t xml:space="preserve"> Sequence flow blijft binnen een pool (deel 3, §3.2). </w:t>
      </w:r>
      <w:r>
        <w:rPr>
          <w:rFonts w:ascii="Calibri" w:cs="Calibri" w:eastAsia="Calibri" w:hAnsi="Calibri"/>
          <w:b/>
          <w:bCs/>
          <w:i w:val="false"/>
          <w:iCs w:val="false"/>
          <w:color w:val="1A1A1A"/>
          <w:sz w:val="21"/>
          <w:szCs w:val="21"/>
        </w:rPr>
        <w:t xml:space="preserve">3-C.</w:t>
      </w:r>
      <w:r>
        <w:rPr>
          <w:rFonts w:ascii="Calibri" w:cs="Calibri" w:eastAsia="Calibri" w:hAnsi="Calibri"/>
          <w:b w:val="false"/>
          <w:bCs w:val="false"/>
          <w:i w:val="false"/>
          <w:iCs w:val="false"/>
          <w:color w:val="1A1A1A"/>
          <w:sz w:val="21"/>
          <w:szCs w:val="21"/>
        </w:rPr>
        <w:t xml:space="preserve"> Escalation is analytic subclass (deel 4, §4.2); de overige drie zijn descriptive. </w:t>
      </w:r>
      <w:r>
        <w:rPr>
          <w:rFonts w:ascii="Calibri" w:cs="Calibri" w:eastAsia="Calibri" w:hAnsi="Calibri"/>
          <w:b/>
          <w:bCs/>
          <w:i w:val="false"/>
          <w:iCs w:val="false"/>
          <w:color w:val="1A1A1A"/>
          <w:sz w:val="21"/>
          <w:szCs w:val="21"/>
        </w:rPr>
        <w:t xml:space="preserve">4-B.</w:t>
      </w:r>
      <w:r>
        <w:rPr>
          <w:rFonts w:ascii="Calibri" w:cs="Calibri" w:eastAsia="Calibri" w:hAnsi="Calibri"/>
          <w:b w:val="false"/>
          <w:bCs w:val="false"/>
          <w:i w:val="false"/>
          <w:iCs w:val="false"/>
          <w:color w:val="1A1A1A"/>
          <w:sz w:val="21"/>
          <w:szCs w:val="21"/>
        </w:rPr>
        <w:t xml:space="preserve"> De kern van deel 4, §4.3. </w:t>
      </w:r>
      <w:r>
        <w:rPr>
          <w:rFonts w:ascii="Calibri" w:cs="Calibri" w:eastAsia="Calibri" w:hAnsi="Calibri"/>
          <w:b/>
          <w:bCs/>
          <w:i w:val="false"/>
          <w:iCs w:val="false"/>
          <w:color w:val="1A1A1A"/>
          <w:sz w:val="21"/>
          <w:szCs w:val="21"/>
        </w:rPr>
        <w:t xml:space="preserve">5-B.</w:t>
      </w:r>
      <w:r>
        <w:rPr>
          <w:rFonts w:ascii="Calibri" w:cs="Calibri" w:eastAsia="Calibri" w:hAnsi="Calibri"/>
          <w:b w:val="false"/>
          <w:bCs w:val="false"/>
          <w:i w:val="false"/>
          <w:iCs w:val="false"/>
          <w:color w:val="1A1A1A"/>
          <w:sz w:val="21"/>
          <w:szCs w:val="21"/>
        </w:rPr>
        <w:t xml:space="preserve"> De tokenlogica-klassieker uit deel 4, §4.7, herhaald in deel 5. </w:t>
      </w:r>
      <w:r>
        <w:rPr>
          <w:rFonts w:ascii="Calibri" w:cs="Calibri" w:eastAsia="Calibri" w:hAnsi="Calibri"/>
          <w:b/>
          <w:bCs/>
          <w:i w:val="false"/>
          <w:iCs w:val="false"/>
          <w:color w:val="1A1A1A"/>
          <w:sz w:val="21"/>
          <w:szCs w:val="21"/>
        </w:rPr>
        <w:t xml:space="preserve">6-B.</w:t>
      </w:r>
      <w:r>
        <w:rPr>
          <w:rFonts w:ascii="Calibri" w:cs="Calibri" w:eastAsia="Calibri" w:hAnsi="Calibri"/>
          <w:b w:val="false"/>
          <w:bCs w:val="false"/>
          <w:i w:val="false"/>
          <w:iCs w:val="false"/>
          <w:color w:val="1A1A1A"/>
          <w:sz w:val="21"/>
          <w:szCs w:val="21"/>
        </w:rPr>
        <w:t xml:space="preserve"> Ends beschrijven het "waarheen" (deel 2, §2.3). </w:t>
      </w:r>
      <w:r>
        <w:rPr>
          <w:rFonts w:ascii="Calibri" w:cs="Calibri" w:eastAsia="Calibri" w:hAnsi="Calibri"/>
          <w:b/>
          <w:bCs/>
          <w:i w:val="false"/>
          <w:iCs w:val="false"/>
          <w:color w:val="1A1A1A"/>
          <w:sz w:val="21"/>
          <w:szCs w:val="21"/>
        </w:rPr>
        <w:t xml:space="preserve">7-C.</w:t>
      </w:r>
      <w:r>
        <w:rPr>
          <w:rFonts w:ascii="Calibri" w:cs="Calibri" w:eastAsia="Calibri" w:hAnsi="Calibri"/>
          <w:b w:val="false"/>
          <w:bCs w:val="false"/>
          <w:i w:val="false"/>
          <w:iCs w:val="false"/>
          <w:color w:val="1A1A1A"/>
          <w:sz w:val="21"/>
          <w:szCs w:val="21"/>
        </w:rPr>
        <w:t xml:space="preserve"> Meetbaar en tijdgebonden = doelstelling, niet doel (deel 2, opdracht 2, vergelijkbaar patroon). </w:t>
      </w:r>
      <w:r>
        <w:rPr>
          <w:rFonts w:ascii="Calibri" w:cs="Calibri" w:eastAsia="Calibri" w:hAnsi="Calibri"/>
          <w:b/>
          <w:bCs/>
          <w:i w:val="false"/>
          <w:iCs w:val="false"/>
          <w:color w:val="1A1A1A"/>
          <w:sz w:val="21"/>
          <w:szCs w:val="21"/>
        </w:rPr>
        <w:t xml:space="preserve">8-B.</w:t>
      </w:r>
      <w:r>
        <w:rPr>
          <w:rFonts w:ascii="Calibri" w:cs="Calibri" w:eastAsia="Calibri" w:hAnsi="Calibri"/>
          <w:b w:val="false"/>
          <w:bCs w:val="false"/>
          <w:i w:val="false"/>
          <w:iCs w:val="false"/>
          <w:color w:val="1A1A1A"/>
          <w:sz w:val="21"/>
          <w:szCs w:val="21"/>
        </w:rPr>
        <w:t xml:space="preserve"> Vermogen, geen documentatiegraad (deel 2, §2.4). </w:t>
      </w:r>
      <w:r>
        <w:rPr>
          <w:rFonts w:ascii="Calibri" w:cs="Calibri" w:eastAsia="Calibri" w:hAnsi="Calibri"/>
          <w:b/>
          <w:bCs/>
          <w:i w:val="false"/>
          <w:iCs w:val="false"/>
          <w:color w:val="1A1A1A"/>
          <w:sz w:val="21"/>
          <w:szCs w:val="21"/>
        </w:rPr>
        <w:t xml:space="preserve">9-B.</w:t>
      </w:r>
      <w:r>
        <w:rPr>
          <w:rFonts w:ascii="Calibri" w:cs="Calibri" w:eastAsia="Calibri" w:hAnsi="Calibri"/>
          <w:b w:val="false"/>
          <w:bCs w:val="false"/>
          <w:i w:val="false"/>
          <w:iCs w:val="false"/>
          <w:color w:val="1A1A1A"/>
          <w:sz w:val="21"/>
          <w:szCs w:val="21"/>
        </w:rPr>
        <w:t xml:space="preserve"> Definitie van Unique (deel 6, §6.4). </w:t>
      </w:r>
      <w:r>
        <w:rPr>
          <w:rFonts w:ascii="Calibri" w:cs="Calibri" w:eastAsia="Calibri" w:hAnsi="Calibri"/>
          <w:b/>
          <w:bCs/>
          <w:i w:val="false"/>
          <w:iCs w:val="false"/>
          <w:color w:val="1A1A1A"/>
          <w:sz w:val="21"/>
          <w:szCs w:val="21"/>
        </w:rPr>
        <w:t xml:space="preserve">10-C.</w:t>
      </w:r>
      <w:r>
        <w:rPr>
          <w:rFonts w:ascii="Calibri" w:cs="Calibri" w:eastAsia="Calibri" w:hAnsi="Calibri"/>
          <w:b w:val="false"/>
          <w:bCs w:val="false"/>
          <w:i w:val="false"/>
          <w:iCs w:val="false"/>
          <w:color w:val="1A1A1A"/>
          <w:sz w:val="21"/>
          <w:szCs w:val="21"/>
        </w:rPr>
        <w:t xml:space="preserve"> Collect met SUM is precies voor optellen (deel 6, §6.4). </w:t>
      </w:r>
      <w:r>
        <w:rPr>
          <w:rFonts w:ascii="Calibri" w:cs="Calibri" w:eastAsia="Calibri" w:hAnsi="Calibri"/>
          <w:b/>
          <w:bCs/>
          <w:i w:val="false"/>
          <w:iCs w:val="false"/>
          <w:color w:val="1A1A1A"/>
          <w:sz w:val="21"/>
          <w:szCs w:val="21"/>
        </w:rPr>
        <w:t xml:space="preserve">11-B.</w:t>
      </w:r>
      <w:r>
        <w:rPr>
          <w:rFonts w:ascii="Calibri" w:cs="Calibri" w:eastAsia="Calibri" w:hAnsi="Calibri"/>
          <w:b w:val="false"/>
          <w:bCs w:val="false"/>
          <w:i w:val="false"/>
          <w:iCs w:val="false"/>
          <w:color w:val="1A1A1A"/>
          <w:sz w:val="21"/>
          <w:szCs w:val="21"/>
        </w:rPr>
        <w:t xml:space="preserve"> De hardnekkige denkfout uit deel 6, §6.6, expliciet getoetst. </w:t>
      </w:r>
      <w:r>
        <w:rPr>
          <w:rFonts w:ascii="Calibri" w:cs="Calibri" w:eastAsia="Calibri" w:hAnsi="Calibri"/>
          <w:b/>
          <w:bCs/>
          <w:i w:val="false"/>
          <w:iCs w:val="false"/>
          <w:color w:val="1A1A1A"/>
          <w:sz w:val="21"/>
          <w:szCs w:val="21"/>
        </w:rPr>
        <w:t xml:space="preserve">12-C.</w:t>
      </w:r>
      <w:r>
        <w:rPr>
          <w:rFonts w:ascii="Calibri" w:cs="Calibri" w:eastAsia="Calibri" w:hAnsi="Calibri"/>
          <w:b w:val="false"/>
          <w:bCs w:val="false"/>
          <w:i w:val="false"/>
          <w:iCs w:val="false"/>
          <w:color w:val="1A1A1A"/>
          <w:sz w:val="21"/>
          <w:szCs w:val="21"/>
        </w:rPr>
        <w:t xml:space="preserve"> De definitie van dossierwerk uit deel 1, §1.1. </w:t>
      </w:r>
      <w:r>
        <w:rPr>
          <w:rFonts w:ascii="Calibri" w:cs="Calibri" w:eastAsia="Calibri" w:hAnsi="Calibri"/>
          <w:b/>
          <w:bCs/>
          <w:i w:val="false"/>
          <w:iCs w:val="false"/>
          <w:color w:val="1A1A1A"/>
          <w:sz w:val="21"/>
          <w:szCs w:val="21"/>
        </w:rPr>
        <w:t xml:space="preserve">13-B.</w:t>
      </w:r>
      <w:r>
        <w:rPr>
          <w:rFonts w:ascii="Calibri" w:cs="Calibri" w:eastAsia="Calibri" w:hAnsi="Calibri"/>
          <w:b w:val="false"/>
          <w:bCs w:val="false"/>
          <w:i w:val="false"/>
          <w:iCs w:val="false"/>
          <w:color w:val="1A1A1A"/>
          <w:sz w:val="21"/>
          <w:szCs w:val="21"/>
        </w:rPr>
        <w:t xml:space="preserve"> Het onderscheid uit deel 7, §7.6, dat vaak wordt gemist. </w:t>
      </w:r>
      <w:r>
        <w:rPr>
          <w:rFonts w:ascii="Calibri" w:cs="Calibri" w:eastAsia="Calibri" w:hAnsi="Calibri"/>
          <w:b/>
          <w:bCs/>
          <w:i w:val="false"/>
          <w:iCs w:val="false"/>
          <w:color w:val="1A1A1A"/>
          <w:sz w:val="21"/>
          <w:szCs w:val="21"/>
        </w:rPr>
        <w:t xml:space="preserve">14-D.</w:t>
      </w:r>
      <w:r>
        <w:rPr>
          <w:rFonts w:ascii="Calibri" w:cs="Calibri" w:eastAsia="Calibri" w:hAnsi="Calibri"/>
          <w:b w:val="false"/>
          <w:bCs w:val="false"/>
          <w:i w:val="false"/>
          <w:iCs w:val="false"/>
          <w:color w:val="1A1A1A"/>
          <w:sz w:val="21"/>
          <w:szCs w:val="21"/>
        </w:rPr>
        <w:t xml:space="preserve"> "Milestone task" bestaat niet als koppelpunttype; de afleider test of deelnemers de vier echte koppelpunten uit deel 8, §8.2 scherp hebben. </w:t>
      </w:r>
      <w:r>
        <w:rPr>
          <w:rFonts w:ascii="Calibri" w:cs="Calibri" w:eastAsia="Calibri" w:hAnsi="Calibri"/>
          <w:b/>
          <w:bCs/>
          <w:i w:val="false"/>
          <w:iCs w:val="false"/>
          <w:color w:val="1A1A1A"/>
          <w:sz w:val="21"/>
          <w:szCs w:val="21"/>
        </w:rPr>
        <w:t xml:space="preserve">15-B.</w:t>
      </w:r>
      <w:r>
        <w:rPr>
          <w:rFonts w:ascii="Calibri" w:cs="Calibri" w:eastAsia="Calibri" w:hAnsi="Calibri"/>
          <w:b w:val="false"/>
          <w:bCs w:val="false"/>
          <w:i w:val="false"/>
          <w:iCs w:val="false"/>
          <w:color w:val="1A1A1A"/>
          <w:sz w:val="21"/>
          <w:szCs w:val="21"/>
        </w:rPr>
        <w:t xml:space="preserve"> De vuistregel uit deel 8, §8.3. </w:t>
      </w:r>
      <w:r>
        <w:rPr>
          <w:rFonts w:ascii="Calibri" w:cs="Calibri" w:eastAsia="Calibri" w:hAnsi="Calibri"/>
          <w:b/>
          <w:bCs/>
          <w:i w:val="false"/>
          <w:iCs w:val="false"/>
          <w:color w:val="1A1A1A"/>
          <w:sz w:val="21"/>
          <w:szCs w:val="21"/>
        </w:rPr>
        <w:t xml:space="preserve">16-B.</w:t>
      </w:r>
      <w:r>
        <w:rPr>
          <w:rFonts w:ascii="Calibri" w:cs="Calibri" w:eastAsia="Calibri" w:hAnsi="Calibri"/>
          <w:b w:val="false"/>
          <w:bCs w:val="false"/>
          <w:i w:val="false"/>
          <w:iCs w:val="false"/>
          <w:color w:val="1A1A1A"/>
          <w:sz w:val="21"/>
          <w:szCs w:val="21"/>
        </w:rPr>
        <w:t xml:space="preserve"> Het eerste antipatroon uit deel 8, §8.4. </w:t>
      </w:r>
      <w:r>
        <w:rPr>
          <w:rFonts w:ascii="Calibri" w:cs="Calibri" w:eastAsia="Calibri" w:hAnsi="Calibri"/>
          <w:b/>
          <w:bCs/>
          <w:i w:val="false"/>
          <w:iCs w:val="false"/>
          <w:color w:val="1A1A1A"/>
          <w:sz w:val="21"/>
          <w:szCs w:val="21"/>
        </w:rPr>
        <w:t xml:space="preserve">17-C.</w:t>
      </w:r>
      <w:r>
        <w:rPr>
          <w:rFonts w:ascii="Calibri" w:cs="Calibri" w:eastAsia="Calibri" w:hAnsi="Calibri"/>
          <w:b w:val="false"/>
          <w:bCs w:val="false"/>
          <w:i w:val="false"/>
          <w:iCs w:val="false"/>
          <w:color w:val="1A1A1A"/>
          <w:sz w:val="21"/>
          <w:szCs w:val="21"/>
        </w:rPr>
        <w:t xml:space="preserve"> Deel 9, §9.1. </w:t>
      </w:r>
      <w:r>
        <w:rPr>
          <w:rFonts w:ascii="Calibri" w:cs="Calibri" w:eastAsia="Calibri" w:hAnsi="Calibri"/>
          <w:b/>
          <w:bCs/>
          <w:i w:val="false"/>
          <w:iCs w:val="false"/>
          <w:color w:val="1A1A1A"/>
          <w:sz w:val="21"/>
          <w:szCs w:val="21"/>
        </w:rPr>
        <w:t xml:space="preserve">18-B.</w:t>
      </w:r>
      <w:r>
        <w:rPr>
          <w:rFonts w:ascii="Calibri" w:cs="Calibri" w:eastAsia="Calibri" w:hAnsi="Calibri"/>
          <w:b w:val="false"/>
          <w:bCs w:val="false"/>
          <w:i w:val="false"/>
          <w:iCs w:val="false"/>
          <w:color w:val="1A1A1A"/>
          <w:sz w:val="21"/>
          <w:szCs w:val="21"/>
        </w:rPr>
        <w:t xml:space="preserve"> Deel 9, §9.2. </w:t>
      </w:r>
      <w:r>
        <w:rPr>
          <w:rFonts w:ascii="Calibri" w:cs="Calibri" w:eastAsia="Calibri" w:hAnsi="Calibri"/>
          <w:b/>
          <w:bCs/>
          <w:i w:val="false"/>
          <w:iCs w:val="false"/>
          <w:color w:val="1A1A1A"/>
          <w:sz w:val="21"/>
          <w:szCs w:val="21"/>
        </w:rPr>
        <w:t xml:space="preserve">19-A.</w:t>
      </w:r>
      <w:r>
        <w:rPr>
          <w:rFonts w:ascii="Calibri" w:cs="Calibri" w:eastAsia="Calibri" w:hAnsi="Calibri"/>
          <w:b w:val="false"/>
          <w:bCs w:val="false"/>
          <w:i w:val="false"/>
          <w:iCs w:val="false"/>
          <w:color w:val="1A1A1A"/>
          <w:sz w:val="21"/>
          <w:szCs w:val="21"/>
        </w:rPr>
        <w:t xml:space="preserve"> Deel 1, §1.3 en deel 9, §9.4 — marktadoptie, geen technische onmogelijkheid (afleider C is expres absurd om te toetsen of deelnemers niet random raden). </w:t>
      </w:r>
      <w:r>
        <w:rPr>
          <w:rFonts w:ascii="Calibri" w:cs="Calibri" w:eastAsia="Calibri" w:hAnsi="Calibri"/>
          <w:b/>
          <w:bCs/>
          <w:i w:val="false"/>
          <w:iCs w:val="false"/>
          <w:color w:val="1A1A1A"/>
          <w:sz w:val="21"/>
          <w:szCs w:val="21"/>
        </w:rPr>
        <w:t xml:space="preserve">20-B.</w:t>
      </w:r>
      <w:r>
        <w:rPr>
          <w:rFonts w:ascii="Calibri" w:cs="Calibri" w:eastAsia="Calibri" w:hAnsi="Calibri"/>
          <w:b w:val="false"/>
          <w:bCs w:val="false"/>
          <w:i w:val="false"/>
          <w:iCs w:val="false"/>
          <w:color w:val="1A1A1A"/>
          <w:sz w:val="21"/>
          <w:szCs w:val="21"/>
        </w:rPr>
        <w:t xml:space="preserve"> Deel 5, §5.1.</w:t>
      </w:r>
    </w:p>
    <w:p>
      <w:pPr>
        <w:spacing w:after="160" w:line="300"/>
        <w:jc w:val="left"/>
      </w:pPr>
      <w:r>
        <w:rPr>
          <w:rFonts w:ascii="Calibri" w:cs="Calibri" w:eastAsia="Calibri" w:hAnsi="Calibri"/>
          <w:b/>
          <w:bCs/>
          <w:i w:val="false"/>
          <w:iCs w:val="false"/>
          <w:color w:val="1A1A1A"/>
          <w:sz w:val="21"/>
          <w:szCs w:val="21"/>
        </w:rPr>
        <w:t xml:space="preserve">Aandachtspunt bij nabespreking.</w:t>
      </w:r>
      <w:r>
        <w:rPr>
          <w:rFonts w:ascii="Calibri" w:cs="Calibri" w:eastAsia="Calibri" w:hAnsi="Calibri"/>
          <w:b w:val="false"/>
          <w:bCs w:val="false"/>
          <w:i w:val="false"/>
          <w:iCs w:val="false"/>
          <w:color w:val="1A1A1A"/>
          <w:sz w:val="21"/>
          <w:szCs w:val="21"/>
        </w:rPr>
        <w:t xml:space="preserve"> Vraag 14 en 19 hebben doorgaans de laagste score bij een eerste afname — niet omdat de stof moeilijk is, maar omdat beide vragen een lichte alertheid vereisen (een niet-bestaand koppelpunttype herkennen, resp. een voor de hand liggende maar onjuiste technische verklaring afwijzen). Besteed hier iets meer tijd aan dan de score op het eerste gezicht rechtvaardigt — het traint examenvaardigheid, niet alleen kennis.</w:t>
      </w:r>
    </w:p>
    <w:p>
      <w:pPr>
        <w:pStyle w:val="Heading2"/>
        <w:pBdr>
          <w:bottom w:val="single" w:color="2563A8" w:sz="6" w:space="4"/>
        </w:pBdr>
        <w:spacing w:after="160" w:before="300"/>
      </w:pPr>
      <w:r>
        <w:rPr>
          <w:rFonts w:ascii="Calibri" w:cs="Calibri" w:eastAsia="Calibri" w:hAnsi="Calibri"/>
          <w:b/>
          <w:bCs/>
          <w:color w:val="2563A8"/>
          <w:sz w:val="24"/>
          <w:szCs w:val="24"/>
        </w:rPr>
        <w:t xml:space="preserve">Toelichting per vraag, proefexamen 2</w:t>
      </w:r>
    </w:p>
    <w:p>
      <w:pPr>
        <w:spacing w:after="160" w:line="300"/>
        <w:jc w:val="left"/>
      </w:pPr>
      <w:r>
        <w:rPr>
          <w:rFonts w:ascii="Calibri" w:cs="Calibri" w:eastAsia="Calibri" w:hAnsi="Calibri"/>
          <w:b/>
          <w:bCs/>
          <w:i w:val="false"/>
          <w:iCs w:val="false"/>
          <w:color w:val="1A1A1A"/>
          <w:sz w:val="21"/>
          <w:szCs w:val="21"/>
        </w:rPr>
        <w:t xml:space="preserve">1-B.</w:t>
      </w:r>
      <w:r>
        <w:rPr>
          <w:rFonts w:ascii="Calibri" w:cs="Calibri" w:eastAsia="Calibri" w:hAnsi="Calibri"/>
          <w:b w:val="false"/>
          <w:bCs w:val="false"/>
          <w:i w:val="false"/>
          <w:iCs w:val="false"/>
          <w:color w:val="1A1A1A"/>
          <w:sz w:val="21"/>
          <w:szCs w:val="21"/>
        </w:rPr>
        <w:t xml:space="preserve"> Deel 3, §3.4, bespreekpunt. </w:t>
      </w:r>
      <w:r>
        <w:rPr>
          <w:rFonts w:ascii="Calibri" w:cs="Calibri" w:eastAsia="Calibri" w:hAnsi="Calibri"/>
          <w:b/>
          <w:bCs/>
          <w:i w:val="false"/>
          <w:iCs w:val="false"/>
          <w:color w:val="1A1A1A"/>
          <w:sz w:val="21"/>
          <w:szCs w:val="21"/>
        </w:rPr>
        <w:t xml:space="preserve">2-B.</w:t>
      </w:r>
      <w:r>
        <w:rPr>
          <w:rFonts w:ascii="Calibri" w:cs="Calibri" w:eastAsia="Calibri" w:hAnsi="Calibri"/>
          <w:b w:val="false"/>
          <w:bCs w:val="false"/>
          <w:i w:val="false"/>
          <w:iCs w:val="false"/>
          <w:color w:val="1A1A1A"/>
          <w:sz w:val="21"/>
          <w:szCs w:val="21"/>
        </w:rPr>
        <w:t xml:space="preserve"> Deel 2, §2.3 — strategie is een means, structureel en richtinggevend, in tegenstelling tot tactiek (concreet en uitvoerbaar). </w:t>
      </w:r>
      <w:r>
        <w:rPr>
          <w:rFonts w:ascii="Calibri" w:cs="Calibri" w:eastAsia="Calibri" w:hAnsi="Calibri"/>
          <w:b/>
          <w:bCs/>
          <w:i w:val="false"/>
          <w:iCs w:val="false"/>
          <w:color w:val="1A1A1A"/>
          <w:sz w:val="21"/>
          <w:szCs w:val="21"/>
        </w:rPr>
        <w:t xml:space="preserve">3-B.</w:t>
      </w:r>
      <w:r>
        <w:rPr>
          <w:rFonts w:ascii="Calibri" w:cs="Calibri" w:eastAsia="Calibri" w:hAnsi="Calibri"/>
          <w:b w:val="false"/>
          <w:bCs w:val="false"/>
          <w:i w:val="false"/>
          <w:iCs w:val="false"/>
          <w:color w:val="1A1A1A"/>
          <w:sz w:val="21"/>
          <w:szCs w:val="21"/>
        </w:rPr>
        <w:t xml:space="preserve"> De functie van een default flow (deel 3, §3.5). </w:t>
      </w:r>
      <w:r>
        <w:rPr>
          <w:rFonts w:ascii="Calibri" w:cs="Calibri" w:eastAsia="Calibri" w:hAnsi="Calibri"/>
          <w:b/>
          <w:bCs/>
          <w:i w:val="false"/>
          <w:iCs w:val="false"/>
          <w:color w:val="1A1A1A"/>
          <w:sz w:val="21"/>
          <w:szCs w:val="21"/>
        </w:rPr>
        <w:t xml:space="preserve">4-B.</w:t>
      </w:r>
      <w:r>
        <w:rPr>
          <w:rFonts w:ascii="Calibri" w:cs="Calibri" w:eastAsia="Calibri" w:hAnsi="Calibri"/>
          <w:b w:val="false"/>
          <w:bCs w:val="false"/>
          <w:i w:val="false"/>
          <w:iCs w:val="false"/>
          <w:color w:val="1A1A1A"/>
          <w:sz w:val="21"/>
          <w:szCs w:val="21"/>
        </w:rPr>
        <w:t xml:space="preserve"> Herhaling van vraag 4 in proefexamen 1, net iets anders geformuleerd — bewust, om te toetsen of het begrip beklijft en niet alleen de vraagformulering herkend werd. </w:t>
      </w:r>
      <w:r>
        <w:rPr>
          <w:rFonts w:ascii="Calibri" w:cs="Calibri" w:eastAsia="Calibri" w:hAnsi="Calibri"/>
          <w:b/>
          <w:bCs/>
          <w:i w:val="false"/>
          <w:iCs w:val="false"/>
          <w:color w:val="1A1A1A"/>
          <w:sz w:val="21"/>
          <w:szCs w:val="21"/>
        </w:rPr>
        <w:t xml:space="preserve">5-A.</w:t>
      </w:r>
      <w:r>
        <w:rPr>
          <w:rFonts w:ascii="Calibri" w:cs="Calibri" w:eastAsia="Calibri" w:hAnsi="Calibri"/>
          <w:b w:val="false"/>
          <w:bCs w:val="false"/>
          <w:i w:val="false"/>
          <w:iCs w:val="false"/>
          <w:color w:val="1A1A1A"/>
          <w:sz w:val="21"/>
          <w:szCs w:val="21"/>
        </w:rPr>
        <w:t xml:space="preserve"> Deel 4, §4.4. </w:t>
      </w:r>
      <w:r>
        <w:rPr>
          <w:rFonts w:ascii="Calibri" w:cs="Calibri" w:eastAsia="Calibri" w:hAnsi="Calibri"/>
          <w:b/>
          <w:bCs/>
          <w:i w:val="false"/>
          <w:iCs w:val="false"/>
          <w:color w:val="1A1A1A"/>
          <w:sz w:val="21"/>
          <w:szCs w:val="21"/>
        </w:rPr>
        <w:t xml:space="preserve">6-B.</w:t>
      </w:r>
      <w:r>
        <w:rPr>
          <w:rFonts w:ascii="Calibri" w:cs="Calibri" w:eastAsia="Calibri" w:hAnsi="Calibri"/>
          <w:b w:val="false"/>
          <w:bCs w:val="false"/>
          <w:i w:val="false"/>
          <w:iCs w:val="false"/>
          <w:color w:val="1A1A1A"/>
          <w:sz w:val="21"/>
          <w:szCs w:val="21"/>
        </w:rPr>
        <w:t xml:space="preserve"> Deel 4, §4.6 — completion condition. </w:t>
      </w:r>
      <w:r>
        <w:rPr>
          <w:rFonts w:ascii="Calibri" w:cs="Calibri" w:eastAsia="Calibri" w:hAnsi="Calibri"/>
          <w:b/>
          <w:bCs/>
          <w:i w:val="false"/>
          <w:iCs w:val="false"/>
          <w:color w:val="1A1A1A"/>
          <w:sz w:val="21"/>
          <w:szCs w:val="21"/>
        </w:rPr>
        <w:t xml:space="preserve">7-C.</w:t>
      </w:r>
      <w:r>
        <w:rPr>
          <w:rFonts w:ascii="Calibri" w:cs="Calibri" w:eastAsia="Calibri" w:hAnsi="Calibri"/>
          <w:b w:val="false"/>
          <w:bCs w:val="false"/>
          <w:i w:val="false"/>
          <w:iCs w:val="false"/>
          <w:color w:val="1A1A1A"/>
          <w:sz w:val="21"/>
          <w:szCs w:val="21"/>
        </w:rPr>
        <w:t xml:space="preserve"> 2³ = 8 (deel 6, §6.5, en direct geoefend in deel 6, opdracht 3). </w:t>
      </w:r>
      <w:r>
        <w:rPr>
          <w:rFonts w:ascii="Calibri" w:cs="Calibri" w:eastAsia="Calibri" w:hAnsi="Calibri"/>
          <w:b/>
          <w:bCs/>
          <w:i w:val="false"/>
          <w:iCs w:val="false"/>
          <w:color w:val="1A1A1A"/>
          <w:sz w:val="21"/>
          <w:szCs w:val="21"/>
        </w:rPr>
        <w:t xml:space="preserve">8-B.</w:t>
      </w:r>
      <w:r>
        <w:rPr>
          <w:rFonts w:ascii="Calibri" w:cs="Calibri" w:eastAsia="Calibri" w:hAnsi="Calibri"/>
          <w:b w:val="false"/>
          <w:bCs w:val="false"/>
          <w:i w:val="false"/>
          <w:iCs w:val="false"/>
          <w:color w:val="1A1A1A"/>
          <w:sz w:val="21"/>
          <w:szCs w:val="21"/>
        </w:rPr>
        <w:t xml:space="preserve"> Definitie van Any (deel 6, §6.4). </w:t>
      </w:r>
      <w:r>
        <w:rPr>
          <w:rFonts w:ascii="Calibri" w:cs="Calibri" w:eastAsia="Calibri" w:hAnsi="Calibri"/>
          <w:b/>
          <w:bCs/>
          <w:i w:val="false"/>
          <w:iCs w:val="false"/>
          <w:color w:val="1A1A1A"/>
          <w:sz w:val="21"/>
          <w:szCs w:val="21"/>
        </w:rPr>
        <w:t xml:space="preserve">9-B.</w:t>
      </w:r>
      <w:r>
        <w:rPr>
          <w:rFonts w:ascii="Calibri" w:cs="Calibri" w:eastAsia="Calibri" w:hAnsi="Calibri"/>
          <w:b w:val="false"/>
          <w:bCs w:val="false"/>
          <w:i w:val="false"/>
          <w:iCs w:val="false"/>
          <w:color w:val="1A1A1A"/>
          <w:sz w:val="21"/>
          <w:szCs w:val="21"/>
        </w:rPr>
        <w:t xml:space="preserve"> Definitie van BKM (deel 6, §6.2). </w:t>
      </w:r>
      <w:r>
        <w:rPr>
          <w:rFonts w:ascii="Calibri" w:cs="Calibri" w:eastAsia="Calibri" w:hAnsi="Calibri"/>
          <w:b/>
          <w:bCs/>
          <w:i w:val="false"/>
          <w:iCs w:val="false"/>
          <w:color w:val="1A1A1A"/>
          <w:sz w:val="21"/>
          <w:szCs w:val="21"/>
        </w:rPr>
        <w:t xml:space="preserve">10-C.</w:t>
      </w:r>
      <w:r>
        <w:rPr>
          <w:rFonts w:ascii="Calibri" w:cs="Calibri" w:eastAsia="Calibri" w:hAnsi="Calibri"/>
          <w:b w:val="false"/>
          <w:bCs w:val="false"/>
          <w:i w:val="false"/>
          <w:iCs w:val="false"/>
          <w:color w:val="1A1A1A"/>
          <w:sz w:val="21"/>
          <w:szCs w:val="21"/>
        </w:rPr>
        <w:t xml:space="preserve"> On-part én if-part moeten beide kloppen (deel 7, §7.4). </w:t>
      </w:r>
      <w:r>
        <w:rPr>
          <w:rFonts w:ascii="Calibri" w:cs="Calibri" w:eastAsia="Calibri" w:hAnsi="Calibri"/>
          <w:b/>
          <w:bCs/>
          <w:i w:val="false"/>
          <w:iCs w:val="false"/>
          <w:color w:val="1A1A1A"/>
          <w:sz w:val="21"/>
          <w:szCs w:val="21"/>
        </w:rPr>
        <w:t xml:space="preserve">11-A.</w:t>
      </w:r>
      <w:r>
        <w:rPr>
          <w:rFonts w:ascii="Calibri" w:cs="Calibri" w:eastAsia="Calibri" w:hAnsi="Calibri"/>
          <w:b w:val="false"/>
          <w:bCs w:val="false"/>
          <w:i w:val="false"/>
          <w:iCs w:val="false"/>
          <w:color w:val="1A1A1A"/>
          <w:sz w:val="21"/>
          <w:szCs w:val="21"/>
        </w:rPr>
        <w:t xml:space="preserve"> Deel 7, §7.5. </w:t>
      </w:r>
      <w:r>
        <w:rPr>
          <w:rFonts w:ascii="Calibri" w:cs="Calibri" w:eastAsia="Calibri" w:hAnsi="Calibri"/>
          <w:b/>
          <w:bCs/>
          <w:i w:val="false"/>
          <w:iCs w:val="false"/>
          <w:color w:val="1A1A1A"/>
          <w:sz w:val="21"/>
          <w:szCs w:val="21"/>
        </w:rPr>
        <w:t xml:space="preserve">12-B.</w:t>
      </w:r>
      <w:r>
        <w:rPr>
          <w:rFonts w:ascii="Calibri" w:cs="Calibri" w:eastAsia="Calibri" w:hAnsi="Calibri"/>
          <w:b w:val="false"/>
          <w:bCs w:val="false"/>
          <w:i w:val="false"/>
          <w:iCs w:val="false"/>
          <w:color w:val="1A1A1A"/>
          <w:sz w:val="21"/>
          <w:szCs w:val="21"/>
        </w:rPr>
        <w:t xml:space="preserve"> Het derde antipatroon uit deel 8, §8.4, herkend in een concreet fragment. </w:t>
      </w:r>
      <w:r>
        <w:rPr>
          <w:rFonts w:ascii="Calibri" w:cs="Calibri" w:eastAsia="Calibri" w:hAnsi="Calibri"/>
          <w:b/>
          <w:bCs/>
          <w:i w:val="false"/>
          <w:iCs w:val="false"/>
          <w:color w:val="1A1A1A"/>
          <w:sz w:val="21"/>
          <w:szCs w:val="21"/>
        </w:rPr>
        <w:t xml:space="preserve">13-A.</w:t>
      </w:r>
      <w:r>
        <w:rPr>
          <w:rFonts w:ascii="Calibri" w:cs="Calibri" w:eastAsia="Calibri" w:hAnsi="Calibri"/>
          <w:b w:val="false"/>
          <w:bCs w:val="false"/>
          <w:i w:val="false"/>
          <w:iCs w:val="false"/>
          <w:color w:val="1A1A1A"/>
          <w:sz w:val="21"/>
          <w:szCs w:val="21"/>
        </w:rPr>
        <w:t xml:space="preserve"> Deel 7, §7.3 en deel 8, §8.2. </w:t>
      </w:r>
      <w:r>
        <w:rPr>
          <w:rFonts w:ascii="Calibri" w:cs="Calibri" w:eastAsia="Calibri" w:hAnsi="Calibri"/>
          <w:b/>
          <w:bCs/>
          <w:i w:val="false"/>
          <w:iCs w:val="false"/>
          <w:color w:val="1A1A1A"/>
          <w:sz w:val="21"/>
          <w:szCs w:val="21"/>
        </w:rPr>
        <w:t xml:space="preserve">14-B.</w:t>
      </w:r>
      <w:r>
        <w:rPr>
          <w:rFonts w:ascii="Calibri" w:cs="Calibri" w:eastAsia="Calibri" w:hAnsi="Calibri"/>
          <w:b w:val="false"/>
          <w:bCs w:val="false"/>
          <w:i w:val="false"/>
          <w:iCs w:val="false"/>
          <w:color w:val="1A1A1A"/>
          <w:sz w:val="21"/>
          <w:szCs w:val="21"/>
        </w:rPr>
        <w:t xml:space="preserve"> De eerste stap van de keuzeboom (deel 8, §8.1) — bewust als expliciete kennisvraag, los van een toegepast scenario. </w:t>
      </w:r>
      <w:r>
        <w:rPr>
          <w:rFonts w:ascii="Calibri" w:cs="Calibri" w:eastAsia="Calibri" w:hAnsi="Calibri"/>
          <w:b/>
          <w:bCs/>
          <w:i w:val="false"/>
          <w:iCs w:val="false"/>
          <w:color w:val="1A1A1A"/>
          <w:sz w:val="21"/>
          <w:szCs w:val="21"/>
        </w:rPr>
        <w:t xml:space="preserve">15-B.</w:t>
      </w:r>
      <w:r>
        <w:rPr>
          <w:rFonts w:ascii="Calibri" w:cs="Calibri" w:eastAsia="Calibri" w:hAnsi="Calibri"/>
          <w:b w:val="false"/>
          <w:bCs w:val="false"/>
          <w:i w:val="false"/>
          <w:iCs w:val="false"/>
          <w:color w:val="1A1A1A"/>
          <w:sz w:val="21"/>
          <w:szCs w:val="21"/>
        </w:rPr>
        <w:t xml:space="preserve"> Deel 9, §9.4. </w:t>
      </w:r>
      <w:r>
        <w:rPr>
          <w:rFonts w:ascii="Calibri" w:cs="Calibri" w:eastAsia="Calibri" w:hAnsi="Calibri"/>
          <w:b/>
          <w:bCs/>
          <w:i w:val="false"/>
          <w:iCs w:val="false"/>
          <w:color w:val="1A1A1A"/>
          <w:sz w:val="21"/>
          <w:szCs w:val="21"/>
        </w:rPr>
        <w:t xml:space="preserve">16-C.</w:t>
      </w:r>
      <w:r>
        <w:rPr>
          <w:rFonts w:ascii="Calibri" w:cs="Calibri" w:eastAsia="Calibri" w:hAnsi="Calibri"/>
          <w:b w:val="false"/>
          <w:bCs w:val="false"/>
          <w:i w:val="false"/>
          <w:iCs w:val="false"/>
          <w:color w:val="1A1A1A"/>
          <w:sz w:val="21"/>
          <w:szCs w:val="21"/>
        </w:rPr>
        <w:t xml:space="preserve"> DI bevat geen conditie-expressies — dat hoort bij het model zelf (deel 9, §9.1). </w:t>
      </w:r>
      <w:r>
        <w:rPr>
          <w:rFonts w:ascii="Calibri" w:cs="Calibri" w:eastAsia="Calibri" w:hAnsi="Calibri"/>
          <w:b/>
          <w:bCs/>
          <w:i w:val="false"/>
          <w:iCs w:val="false"/>
          <w:color w:val="1A1A1A"/>
          <w:sz w:val="21"/>
          <w:szCs w:val="21"/>
        </w:rPr>
        <w:t xml:space="preserve">17-C.</w:t>
      </w:r>
      <w:r>
        <w:rPr>
          <w:rFonts w:ascii="Calibri" w:cs="Calibri" w:eastAsia="Calibri" w:hAnsi="Calibri"/>
          <w:b w:val="false"/>
          <w:bCs w:val="false"/>
          <w:i w:val="false"/>
          <w:iCs w:val="false"/>
          <w:color w:val="1A1A1A"/>
          <w:sz w:val="21"/>
          <w:szCs w:val="21"/>
        </w:rPr>
        <w:t xml:space="preserve"> Semantisch, niet structureel — de andere drie opties zijn stuk voor stuk structurele fouten (deel 5, §5.4). </w:t>
      </w:r>
      <w:r>
        <w:rPr>
          <w:rFonts w:ascii="Calibri" w:cs="Calibri" w:eastAsia="Calibri" w:hAnsi="Calibri"/>
          <w:b/>
          <w:bCs/>
          <w:i w:val="false"/>
          <w:iCs w:val="false"/>
          <w:color w:val="1A1A1A"/>
          <w:sz w:val="21"/>
          <w:szCs w:val="21"/>
        </w:rPr>
        <w:t xml:space="preserve">18-B.</w:t>
      </w:r>
      <w:r>
        <w:rPr>
          <w:rFonts w:ascii="Calibri" w:cs="Calibri" w:eastAsia="Calibri" w:hAnsi="Calibri"/>
          <w:b w:val="false"/>
          <w:bCs w:val="false"/>
          <w:i w:val="false"/>
          <w:iCs w:val="false"/>
          <w:color w:val="1A1A1A"/>
          <w:sz w:val="21"/>
          <w:szCs w:val="21"/>
        </w:rPr>
        <w:t xml:space="preserve"> Deel 3, §3.7, herhaald in deel 5, §5.2. </w:t>
      </w:r>
      <w:r>
        <w:rPr>
          <w:rFonts w:ascii="Calibri" w:cs="Calibri" w:eastAsia="Calibri" w:hAnsi="Calibri"/>
          <w:b/>
          <w:bCs/>
          <w:i w:val="false"/>
          <w:iCs w:val="false"/>
          <w:color w:val="1A1A1A"/>
          <w:sz w:val="21"/>
          <w:szCs w:val="21"/>
        </w:rPr>
        <w:t xml:space="preserve">19-B.</w:t>
      </w:r>
      <w:r>
        <w:rPr>
          <w:rFonts w:ascii="Calibri" w:cs="Calibri" w:eastAsia="Calibri" w:hAnsi="Calibri"/>
          <w:b w:val="false"/>
          <w:bCs w:val="false"/>
          <w:i w:val="false"/>
          <w:iCs w:val="false"/>
          <w:color w:val="1A1A1A"/>
          <w:sz w:val="21"/>
          <w:szCs w:val="21"/>
        </w:rPr>
        <w:t xml:space="preserve"> Het eerste antipatroon, herkend in een concreet label (deel 3, §3.5, deel 8, §8.4). </w:t>
      </w:r>
      <w:r>
        <w:rPr>
          <w:rFonts w:ascii="Calibri" w:cs="Calibri" w:eastAsia="Calibri" w:hAnsi="Calibri"/>
          <w:b/>
          <w:bCs/>
          <w:i w:val="false"/>
          <w:iCs w:val="false"/>
          <w:color w:val="1A1A1A"/>
          <w:sz w:val="21"/>
          <w:szCs w:val="21"/>
        </w:rPr>
        <w:t xml:space="preserve">20-A.</w:t>
      </w:r>
      <w:r>
        <w:rPr>
          <w:rFonts w:ascii="Calibri" w:cs="Calibri" w:eastAsia="Calibri" w:hAnsi="Calibri"/>
          <w:b w:val="false"/>
          <w:bCs w:val="false"/>
          <w:i w:val="false"/>
          <w:iCs w:val="false"/>
          <w:color w:val="1A1A1A"/>
          <w:sz w:val="21"/>
          <w:szCs w:val="21"/>
        </w:rPr>
        <w:t xml:space="preserve"> Deel 4, §4.1.</w:t>
      </w:r>
    </w:p>
    <w:p>
      <w:pPr>
        <w:spacing w:after="160" w:line="300"/>
        <w:jc w:val="left"/>
      </w:pPr>
      <w:r>
        <w:rPr>
          <w:rFonts w:ascii="Calibri" w:cs="Calibri" w:eastAsia="Calibri" w:hAnsi="Calibri"/>
          <w:b/>
          <w:bCs/>
          <w:i w:val="false"/>
          <w:iCs w:val="false"/>
          <w:color w:val="1A1A1A"/>
          <w:sz w:val="21"/>
          <w:szCs w:val="21"/>
        </w:rPr>
        <w:t xml:space="preserve">Aandachtspunt.</w:t>
      </w:r>
      <w:r>
        <w:rPr>
          <w:rFonts w:ascii="Calibri" w:cs="Calibri" w:eastAsia="Calibri" w:hAnsi="Calibri"/>
          <w:b w:val="false"/>
          <w:bCs w:val="false"/>
          <w:i w:val="false"/>
          <w:iCs w:val="false"/>
          <w:color w:val="1A1A1A"/>
          <w:sz w:val="21"/>
          <w:szCs w:val="21"/>
        </w:rPr>
        <w:t xml:space="preserve"> Vraag 17 is bewust lastiger dan de rest: alle vier de opties beschrijven een probleem, en drie ervan zijn structureel terwijl er maar één semantisch is. Dit toetst direct de driedeling uit deel 5, §5.4, en is een goede indicator of dat onderscheid daadwerkelijk beklijfd is, niet alleen herkend werd op het moment dat het behandeld werd.</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capstone</w:t>
      </w:r>
    </w:p>
    <w:p>
      <w:pPr>
        <w:pStyle w:val="Heading2"/>
        <w:pBdr>
          <w:bottom w:val="single" w:color="2563A8" w:sz="6" w:space="4"/>
        </w:pBdr>
        <w:spacing w:after="160" w:before="300"/>
      </w:pPr>
      <w:r>
        <w:rPr>
          <w:rFonts w:ascii="Calibri" w:cs="Calibri" w:eastAsia="Calibri" w:hAnsi="Calibri"/>
          <w:b/>
          <w:bCs/>
          <w:color w:val="2563A8"/>
          <w:sz w:val="24"/>
          <w:szCs w:val="24"/>
        </w:rPr>
        <w:t xml:space="preserve">Verwachte indeling van het domein</w:t>
      </w:r>
    </w:p>
    <w:p>
      <w:pPr>
        <w:spacing w:after="160" w:line="300"/>
        <w:jc w:val="left"/>
      </w:pPr>
      <w:r>
        <w:rPr>
          <w:rFonts w:ascii="Calibri" w:cs="Calibri" w:eastAsia="Calibri" w:hAnsi="Calibri"/>
          <w:b w:val="false"/>
          <w:bCs w:val="false"/>
          <w:i w:val="false"/>
          <w:iCs w:val="false"/>
          <w:color w:val="1A1A1A"/>
          <w:sz w:val="21"/>
          <w:szCs w:val="21"/>
        </w:rPr>
        <w:t xml:space="preserve">Geen uniek antwoord, maar een redelijk verdedigbare indeling: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BPMN</w:t>
      </w:r>
      <w:r>
        <w:rPr>
          <w:rFonts w:ascii="Calibri" w:cs="Calibri" w:eastAsia="Calibri" w:hAnsi="Calibri"/>
          <w:b w:val="false"/>
          <w:bCs w:val="false"/>
          <w:i w:val="false"/>
          <w:iCs w:val="false"/>
          <w:color w:val="1A1A1A"/>
          <w:sz w:val="21"/>
          <w:szCs w:val="21"/>
        </w:rPr>
        <w:t xml:space="preserve"> — ontvangst, volledigheidscontrole met aanvultermijn, doorzetten naar berekening, versturen van het voorlopig aanbod, wachten op bevestiging (30 dagen) met twee uitkomsten (bevestigd/vervallen), definitieve verwerking.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DMN</w:t>
      </w:r>
      <w:r>
        <w:rPr>
          <w:rFonts w:ascii="Calibri" w:cs="Calibri" w:eastAsia="Calibri" w:hAnsi="Calibri"/>
          <w:b w:val="false"/>
          <w:bCs w:val="false"/>
          <w:i w:val="false"/>
          <w:iCs w:val="false"/>
          <w:color w:val="1A1A1A"/>
          <w:sz w:val="21"/>
          <w:szCs w:val="21"/>
        </w:rPr>
        <w:t xml:space="preserve"> — een DRD met minstens één decision voor het kortingspercentage (input: aantal jaren vervroeging), mogelijk gedecomponeerd in een aparte decision voor de partnerkorting en een voor de waardeoverdracht-correctie, samenkomend in een decision die het definitieve percentage bepaalt.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CMMN</w:t>
      </w:r>
      <w:r>
        <w:rPr>
          <w:rFonts w:ascii="Calibri" w:cs="Calibri" w:eastAsia="Calibri" w:hAnsi="Calibri"/>
          <w:b w:val="false"/>
          <w:bCs w:val="false"/>
          <w:i w:val="false"/>
          <w:iCs w:val="false"/>
          <w:color w:val="1A1A1A"/>
          <w:sz w:val="21"/>
          <w:szCs w:val="21"/>
        </w:rPr>
        <w:t xml:space="preserve"> — een casemodel met discretionary items voor elk van de vier genoemde bijzondere situaties (echtscheiding, aanvullende inkomstenbronnen, medische indicatie, gedeeltelijke vervroeging), gekoppeld via case file items die door de vaste administratieve stroom (of door de behandelaar bij intake) worden gevuld.</w:t>
      </w:r>
    </w:p>
    <w:p>
      <w:pPr>
        <w:spacing w:after="160" w:line="300"/>
        <w:jc w:val="left"/>
      </w:pPr>
      <w:r>
        <w:rPr>
          <w:rFonts w:ascii="Calibri" w:cs="Calibri" w:eastAsia="Calibri" w:hAnsi="Calibri"/>
          <w:b/>
          <w:bCs/>
          <w:i w:val="false"/>
          <w:iCs w:val="false"/>
          <w:color w:val="1A1A1A"/>
          <w:sz w:val="21"/>
          <w:szCs w:val="21"/>
        </w:rPr>
        <w:t xml:space="preserve">Verwacht struikelpunt.</w:t>
      </w:r>
      <w:r>
        <w:rPr>
          <w:rFonts w:ascii="Calibri" w:cs="Calibri" w:eastAsia="Calibri" w:hAnsi="Calibri"/>
          <w:b w:val="false"/>
          <w:bCs w:val="false"/>
          <w:i w:val="false"/>
          <w:iCs w:val="false"/>
          <w:color w:val="1A1A1A"/>
          <w:sz w:val="21"/>
          <w:szCs w:val="21"/>
        </w:rPr>
        <w:t xml:space="preserve"> Deelnemers modelleren de vier bijzondere situaties soms als vier aparte exclusive paden in het BPMN-proces in plaats van als discretionary items in een casemodel — precies het soort fout dat deel 8 beoogt te voorkomen. Als dit gebeurt, is dat een waardevol coachingsmoment: vraag door of alle vier de situaties zich onafhankelijk kunnen voordoen (dus niet wederzijds uitsluitend, zoals een exclusive gateway zou suggereren) en of de omvang en volgorde van het onderzoek per geval verschilt (het signaal voor CMMN uit deel 7, §7.1).</w:t>
      </w:r>
    </w:p>
    <w:p>
      <w:pPr>
        <w:spacing w:after="160" w:line="300"/>
        <w:jc w:val="left"/>
      </w:pPr>
      <w:r>
        <w:rPr>
          <w:rFonts w:ascii="Calibri" w:cs="Calibri" w:eastAsia="Calibri" w:hAnsi="Calibri"/>
          <w:b/>
          <w:bCs/>
          <w:i w:val="false"/>
          <w:iCs w:val="false"/>
          <w:color w:val="1A1A1A"/>
          <w:sz w:val="21"/>
          <w:szCs w:val="21"/>
        </w:rPr>
        <w:t xml:space="preserve">Ander verwacht struikelpunt.</w:t>
      </w:r>
      <w:r>
        <w:rPr>
          <w:rFonts w:ascii="Calibri" w:cs="Calibri" w:eastAsia="Calibri" w:hAnsi="Calibri"/>
          <w:b w:val="false"/>
          <w:bCs w:val="false"/>
          <w:i w:val="false"/>
          <w:iCs w:val="false"/>
          <w:color w:val="1A1A1A"/>
          <w:sz w:val="21"/>
          <w:szCs w:val="21"/>
        </w:rPr>
        <w:t xml:space="preserve"> Het koppelpunt tussen het BPMN-proces en het CMMN-model wordt vaak vergeten of te impliciet gelaten. Vraag expliciet: op welk moment in het BPMN-proces wordt duidelijk dat een van de bijzondere situaties van toepassing is, en hoe wordt de case daadwerkelijk gestart of geraadpleegd vanuit het proces? Een concreet koppelpunt (bijvoorbeeld een case task, of — afhankelijk van tool-ondersteuning — een aparte start die door het proces wordt getriggerd) hoort expliciet in het model te staan, niet alleen in de verantwoording te worden beschreven.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Cumulatieve reviewrubric (volledig overzicht)</w:t>
      </w:r>
    </w:p>
    <w:p>
      <w:pPr>
        <w:spacing w:after="160" w:line="300"/>
        <w:jc w:val="left"/>
      </w:pPr>
      <w:r>
        <w:rPr>
          <w:rFonts w:ascii="Calibri" w:cs="Calibri" w:eastAsia="Calibri" w:hAnsi="Calibri"/>
          <w:b w:val="false"/>
          <w:bCs w:val="false"/>
          <w:i w:val="false"/>
          <w:iCs w:val="false"/>
          <w:color w:val="1A1A1A"/>
          <w:sz w:val="21"/>
          <w:szCs w:val="21"/>
        </w:rPr>
        <w:t xml:space="preserve">Deze rubric bundelt de reviewpunten uit deel 3 (structuur), deel 5 (stijl en validatie), deel 6 (DMN-kwaliteit), deel 7 (CMMN-functionaliteit) en deel 8 (taalkeuze en koppeling). Gebruik hem voor zowel zelfreview als peer review van de capstone.</w:t>
      </w:r>
    </w:p>
    <w:p>
      <w:pPr>
        <w:spacing w:after="160" w:line="300"/>
        <w:jc w:val="left"/>
      </w:pPr>
      <w:r>
        <w:rPr>
          <w:rFonts w:ascii="Calibri" w:cs="Calibri" w:eastAsia="Calibri" w:hAnsi="Calibri"/>
          <w:b/>
          <w:bCs/>
          <w:i w:val="false"/>
          <w:iCs w:val="false"/>
          <w:color w:val="1A1A1A"/>
          <w:sz w:val="21"/>
          <w:szCs w:val="21"/>
        </w:rPr>
        <w:t xml:space="preserve">BPMN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Eén startevent, alle paden eindigen in een benoemd end event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sequence flow over poolgrenzen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Splitsingstype en samenkomsttype consistent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Naamgeving consistent (activiteiten als werkwoord+object, events in voltooide vorm, gateways als vraag)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Happy path binnen seconden herkenbaar; uitzonderingen navenant gepositioneerd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niveauvermenging (landschap/proces/subproces)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Interrupting/non-interrupting correct toegepast waar relevant</w:t>
      </w:r>
    </w:p>
    <w:p>
      <w:pPr>
        <w:spacing w:after="160" w:line="300"/>
        <w:jc w:val="left"/>
      </w:pPr>
      <w:r>
        <w:rPr>
          <w:rFonts w:ascii="Calibri" w:cs="Calibri" w:eastAsia="Calibri" w:hAnsi="Calibri"/>
          <w:b/>
          <w:bCs/>
          <w:i w:val="false"/>
          <w:iCs w:val="false"/>
          <w:color w:val="1A1A1A"/>
          <w:sz w:val="21"/>
          <w:szCs w:val="21"/>
        </w:rPr>
        <w:t xml:space="preserve">DMN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Decision alleen gebruikt waar er geen tijdsdimensie in de logica zit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Tabel aantoonbaar volledig (alle relevante combinaties gedekt of expliciete default)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Hit policy passend bij het gewenste gedrag, gemotiveerd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ongewenste overlap (bij Unique)</w:t>
      </w:r>
    </w:p>
    <w:p>
      <w:pPr>
        <w:spacing w:after="160" w:line="300"/>
        <w:jc w:val="left"/>
      </w:pPr>
      <w:r>
        <w:rPr>
          <w:rFonts w:ascii="Calibri" w:cs="Calibri" w:eastAsia="Calibri" w:hAnsi="Calibri"/>
          <w:b/>
          <w:bCs/>
          <w:i w:val="false"/>
          <w:iCs w:val="false"/>
          <w:color w:val="1A1A1A"/>
          <w:sz w:val="21"/>
          <w:szCs w:val="21"/>
        </w:rPr>
        <w:t xml:space="preserve">CMMN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Case file functioneel gekoppeld aan sentries, niet louter decoratief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Discretionary items daadwerkelijk discretionair, geen verkapte vaste volgorde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Sentries met correcte on-part/if-part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Decorators functioneel toegepast (required, repetition, manual activation, auto-complete waar van toepassing)</w:t>
      </w:r>
    </w:p>
    <w:p>
      <w:pPr>
        <w:spacing w:after="160" w:line="300"/>
        <w:jc w:val="left"/>
      </w:pPr>
      <w:r>
        <w:rPr>
          <w:rFonts w:ascii="Calibri" w:cs="Calibri" w:eastAsia="Calibri" w:hAnsi="Calibri"/>
          <w:b/>
          <w:bCs/>
          <w:i w:val="false"/>
          <w:iCs w:val="false"/>
          <w:color w:val="1A1A1A"/>
          <w:sz w:val="21"/>
          <w:szCs w:val="21"/>
        </w:rPr>
        <w:t xml:space="preserve">Integratie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Keuzeboom aantoonbaar toegepast op elk deel van het domein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Alle koppelpunten expliciet gemodelleerd, niet alleen beschreven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van de drie antipatronen aanwezig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Modelverantwoording benoemt overwogen en verworpen alternatieven, niet alleen de gekozen oplossing</w:t>
      </w: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(bevat beide proefexamens en de capstone-opdracht), toegang tot Conductus voor de capstone, voldoende tijd buiten de lesdagen voor zelfstandige verwerking van de capstone, de cumulatieve reviewrubric als los uitdeelbaar document voor de peer review-sessie.</w:t>
      </w:r>
    </w:p>
    <w:p>
      <w:pPr>
        <w:pStyle w:val="Heading2"/>
        <w:pBdr>
          <w:bottom w:val="single" w:color="2563A8" w:sz="6" w:space="4"/>
        </w:pBdr>
        <w:spacing w:after="160" w:before="300"/>
      </w:pPr>
      <w:r>
        <w:rPr>
          <w:rFonts w:ascii="Calibri" w:cs="Calibri" w:eastAsia="Calibri" w:hAnsi="Calibri"/>
          <w:b/>
          <w:bCs/>
          <w:color w:val="2563A8"/>
          <w:sz w:val="24"/>
          <w:szCs w:val="24"/>
        </w:rPr>
        <w:t xml:space="preserve">Afsluiting van niveau 1</w:t>
      </w:r>
    </w:p>
    <w:p>
      <w:pPr>
        <w:spacing w:after="160" w:line="300"/>
        <w:jc w:val="left"/>
      </w:pPr>
      <w:r>
        <w:rPr>
          <w:rFonts w:ascii="Calibri" w:cs="Calibri" w:eastAsia="Calibri" w:hAnsi="Calibri"/>
          <w:b w:val="false"/>
          <w:bCs w:val="false"/>
          <w:i w:val="false"/>
          <w:iCs w:val="false"/>
          <w:color w:val="1A1A1A"/>
          <w:sz w:val="21"/>
          <w:szCs w:val="21"/>
        </w:rPr>
        <w:t xml:space="preserve">Bij afronding van dit deel is niveau 1 compleet. Geef expliciet aan wat er niveau 2 (Praktijk, deel 11-21) anders maakt: niveau 1 toetste correct modelleren volgens de regels, niveau 2 toetst het opleveren van een bruikbaar, onderhoudbaar geheel voor een echte opdrachtgever — met een zwaarder accent op procesarchitectuur, executable modellering en governance. De Meridiaan-casus loopt door, met een grotere en complexere opgave.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2026-08-17T15:44:24.559Z</dcterms:created>
  <dcterms:modified xsi:type="dcterms:W3CDTF">2026-08-17T15:44:24.560Z</dcterms:modified>
</cp:coreProperties>
</file>

<file path=docProps/custom.xml><?xml version="1.0" encoding="utf-8"?>
<Properties xmlns="http://schemas.openxmlformats.org/officeDocument/2006/custom-properties" xmlns:vt="http://schemas.openxmlformats.org/officeDocument/2006/docPropsVTypes"/>
</file>