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11</w:t>
      </w:r>
    </w:p>
    <w:p>
      <w:pPr>
        <w:spacing w:after="300"/>
      </w:pPr>
      <w:r>
        <w:rPr>
          <w:rFonts w:ascii="Calibri" w:cs="Calibri" w:eastAsia="Calibri" w:hAnsi="Calibri"/>
          <w:b/>
          <w:bCs/>
          <w:color w:val="14213D"/>
          <w:sz w:val="32"/>
          <w:szCs w:val="32"/>
        </w:rPr>
        <w:t xml:space="preserve">Docentenhandleiding — Procesarchitectuur en modelleerconventies</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Het openingsdeel van niveau 2, en daarmee het deel waar de omslag in aard van de opdrachten voor het eerst voelbaar moet worden. Zet dat expliciet neer bij de start: dit is geen oefening meer met een beoordeelbaar juist antwoord, dit is een deliverable die een opdrachtgever zou moeten kunnen vaststellen. Deelnemers die uit niveau 1 komen, verwachten soms nog een modelantwoord — corrigeer die verwachting vroeg, niet pas bij de nabespreking van opdracht 3.</w:t>
      </w:r>
    </w:p>
    <w:p>
      <w:pPr>
        <w:spacing w:after="160" w:line="300"/>
        <w:jc w:val="left"/>
      </w:pPr>
      <w:r>
        <w:rPr>
          <w:rFonts w:ascii="Calibri" w:cs="Calibri" w:eastAsia="Calibri" w:hAnsi="Calibri"/>
          <w:b w:val="false"/>
          <w:bCs w:val="false"/>
          <w:i w:val="false"/>
          <w:iCs w:val="false"/>
          <w:color w:val="1A1A1A"/>
          <w:sz w:val="21"/>
          <w:szCs w:val="21"/>
        </w:rPr>
        <w:t xml:space="preserve">Tweede punt van aandacht: dit deel introduceert de doorlopende programmacasus. Besteed aan het begin voldoende tijd aan de casusbeschrijving zodat iedereen met hetzelfde beeld van het Mutatieplatform vertrekt — onduidelijkheid hier plant zich voort door de rest van niveau 2.</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(dagdeel van 4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Wat niveau 2 anders maakt, introductie casus Mutatieplatform</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0:15 – 0:35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Procesarchitectuur in lagen (§11.1)</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11.1</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0:35 – 0:55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plenair nabespreken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0:55 – 1:20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Afbakening en de drie criteria (§11.2)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1:20 – 1:35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1:35 – 2:05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klassikaal de twee varianten vergelijken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2:05 – 2:30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 modelleerrichtlijn als deliverable (§11.3), verplicht/aanbevolen (§11.4)</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2:30 – 2:45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2:45 – 3:30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3 starten (afronden als huiswerk/zelfstudie)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3:30 – 3:50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Reviewprotocol (§11.5), opdracht 4 kort geïntroduceerd</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3:50 – 4:00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Vooruitblik, planning voor opdracht 3/4/5 buiten de les</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Opdracht 3 is de kerndeliverable en past niet volledig binnen het dagdeel — dat is bewust. Geef duidelijk aan wanneer de definitieve versie wordt ingeleverd en wanneer opdracht 5 (peer review) plaatsvindt, eventueel in een kort vervolgmoment of via een online uitwisseling.</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Bouw de procesplaat</w:t>
      </w:r>
    </w:p>
    <w:p>
      <w:pPr>
        <w:spacing w:after="160" w:line="300"/>
        <w:jc w:val="left"/>
      </w:pPr>
      <w:r>
        <w:rPr>
          <w:rFonts w:ascii="Calibri" w:cs="Calibri" w:eastAsia="Calibri" w:hAnsi="Calibri"/>
          <w:b w:val="false"/>
          <w:bCs w:val="false"/>
          <w:i w:val="false"/>
          <w:iCs w:val="false"/>
          <w:color w:val="1A1A1A"/>
          <w:sz w:val="21"/>
          <w:szCs w:val="21"/>
        </w:rPr>
        <w:t xml:space="preserve">Geen uniek antwoord. Verwacht op domeinniveau: "Mutatieverwerking" als overkoepelend domein binnen Klantcontact. Op procesfamilieniveau: vijf kandidaat-families die overeenkomen met de vijf afdelingen, tenzij een deelnemer al vooruitloopt op opdracht 2 en overlap signaleert.</w:t>
      </w:r>
    </w:p>
    <w:p>
      <w:pPr>
        <w:spacing w:after="160" w:line="300"/>
        <w:jc w:val="left"/>
      </w:pPr>
      <w:r>
        <w:rPr>
          <w:rFonts w:ascii="Calibri" w:cs="Calibri" w:eastAsia="Calibri" w:hAnsi="Calibri"/>
          <w:b/>
          <w:bCs/>
          <w:i w:val="false"/>
          <w:iCs w:val="false"/>
          <w:color w:val="1A1A1A"/>
          <w:sz w:val="21"/>
          <w:szCs w:val="21"/>
        </w:rPr>
        <w:t xml:space="preserve">Overlap die bijna altijd wordt gevonden:</w:t>
      </w:r>
      <w:r>
        <w:rPr>
          <w:rFonts w:ascii="Calibri" w:cs="Calibri" w:eastAsia="Calibri" w:hAnsi="Calibri"/>
          <w:b w:val="false"/>
          <w:bCs w:val="false"/>
          <w:i w:val="false"/>
          <w:iCs w:val="false"/>
          <w:color w:val="1A1A1A"/>
          <w:sz w:val="21"/>
          <w:szCs w:val="21"/>
        </w:rPr>
        <w:t xml:space="preserve"> adreswijzigingen en contactgegevens raken zowel Deelnemermutaties als Werkgevermutaties (een werkgever kan namens een deelnemer gegevens doorgeven); waardeoverdrachten raken zowel de eigen procesfamilie als mogelijk Bijzondere Situaties bij complexe gevallen. Laat deelnemers dit zelf ontdekken — het is de directe aanleiding voor opdracht 2.</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Snij de procesfamilies</w:t>
      </w:r>
    </w:p>
    <w:p>
      <w:pPr>
        <w:spacing w:after="160" w:line="300"/>
        <w:jc w:val="left"/>
      </w:pPr>
      <w:r>
        <w:rPr>
          <w:rFonts w:ascii="Calibri" w:cs="Calibri" w:eastAsia="Calibri" w:hAnsi="Calibri"/>
          <w:b w:val="false"/>
          <w:bCs w:val="false"/>
          <w:i w:val="false"/>
          <w:iCs w:val="false"/>
          <w:color w:val="1A1A1A"/>
          <w:sz w:val="21"/>
          <w:szCs w:val="21"/>
        </w:rPr>
        <w:t xml:space="preserve">Geen uniek antwoord — dit is een architectuurkeuze met argumenten voor beide kanten, bewust zo opgezet.</w:t>
      </w:r>
    </w:p>
    <w:p>
      <w:pPr>
        <w:spacing w:after="160" w:line="300"/>
        <w:jc w:val="left"/>
      </w:pPr>
      <w:r>
        <w:rPr>
          <w:rFonts w:ascii="Calibri" w:cs="Calibri" w:eastAsia="Calibri" w:hAnsi="Calibri"/>
          <w:b/>
          <w:bCs/>
          <w:i w:val="false"/>
          <w:iCs w:val="false"/>
          <w:color w:val="1A1A1A"/>
          <w:sz w:val="21"/>
          <w:szCs w:val="21"/>
        </w:rPr>
        <w:t xml:space="preserve">Variant A (per afdeling).</w:t>
      </w:r>
      <w:r>
        <w:rPr>
          <w:rFonts w:ascii="Calibri" w:cs="Calibri" w:eastAsia="Calibri" w:hAnsi="Calibri"/>
          <w:b w:val="false"/>
          <w:bCs w:val="false"/>
          <w:i w:val="false"/>
          <w:iCs w:val="false"/>
          <w:color w:val="1A1A1A"/>
          <w:sz w:val="21"/>
          <w:szCs w:val="21"/>
        </w:rPr>
        <w:t xml:space="preserve"> Sterk op eigenaarschap (criterium 1): elke afdeling heeft een duidelijke proceseigenaar. Zwak op trigger/uitkomst (criteria 2 en 3): dezelfde trigger (bijvoorbeeld "adreswijziging") wordt in vijf verschillende processen apart gemodelleerd, met risico op divergentie na verloop van tijd.</w:t>
      </w:r>
    </w:p>
    <w:p>
      <w:pPr>
        <w:spacing w:after="160" w:line="300"/>
        <w:jc w:val="left"/>
      </w:pPr>
      <w:r>
        <w:rPr>
          <w:rFonts w:ascii="Calibri" w:cs="Calibri" w:eastAsia="Calibri" w:hAnsi="Calibri"/>
          <w:b/>
          <w:bCs/>
          <w:i w:val="false"/>
          <w:iCs w:val="false"/>
          <w:color w:val="1A1A1A"/>
          <w:sz w:val="21"/>
          <w:szCs w:val="21"/>
        </w:rPr>
        <w:t xml:space="preserve">Variant B (per procesfamilie).</w:t>
      </w:r>
      <w:r>
        <w:rPr>
          <w:rFonts w:ascii="Calibri" w:cs="Calibri" w:eastAsia="Calibri" w:hAnsi="Calibri"/>
          <w:b w:val="false"/>
          <w:bCs w:val="false"/>
          <w:i w:val="false"/>
          <w:iCs w:val="false"/>
          <w:color w:val="1A1A1A"/>
          <w:sz w:val="21"/>
          <w:szCs w:val="21"/>
        </w:rPr>
        <w:t xml:space="preserve"> Sterk op hergebruik en consistentie: één model voor "Adreswijziging", ongeacht welke afdeling de deelnemer raakt. Zwak op eigenaarschap: wie is verantwoordelijk als vijf afdelingen hetzelfde proces gebruiken? Dit vraagt om een aparte proceseigenaar-rol die dwars door de organisatiestructuur snijdt — een reëel governancevraagstuk dat in deel 21 verder wordt uitgewerkt.</w:t>
      </w:r>
    </w:p>
    <w:p>
      <w:pPr>
        <w:spacing w:after="160" w:line="300"/>
        <w:jc w:val="left"/>
      </w:pPr>
      <w:r>
        <w:rPr>
          <w:rFonts w:ascii="Calibri" w:cs="Calibri" w:eastAsia="Calibri" w:hAnsi="Calibri"/>
          <w:b/>
          <w:bCs/>
          <w:i w:val="false"/>
          <w:iCs w:val="false"/>
          <w:color w:val="1A1A1A"/>
          <w:sz w:val="21"/>
          <w:szCs w:val="21"/>
        </w:rPr>
        <w:t xml:space="preserve">Bespreekpunt.</w:t>
      </w:r>
      <w:r>
        <w:rPr>
          <w:rFonts w:ascii="Calibri" w:cs="Calibri" w:eastAsia="Calibri" w:hAnsi="Calibri"/>
          <w:b w:val="false"/>
          <w:bCs w:val="false"/>
          <w:i w:val="false"/>
          <w:iCs w:val="false"/>
          <w:color w:val="1A1A1A"/>
          <w:sz w:val="21"/>
          <w:szCs w:val="21"/>
        </w:rPr>
        <w:t xml:space="preserve"> Er is geen winnaar. Het punt van deze opdracht is dat deelnemers de afweging expliciet leren maken en verdedigen, niet dat ze het "juiste" antwoord vinden. Verwacht een verdeelde zaal; laat dat zo.</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Schrijf de modelleerrichtlijn</w:t>
      </w:r>
    </w:p>
    <w:p>
      <w:pPr>
        <w:spacing w:after="160" w:line="300"/>
        <w:jc w:val="left"/>
      </w:pPr>
      <w:r>
        <w:rPr>
          <w:rFonts w:ascii="Calibri" w:cs="Calibri" w:eastAsia="Calibri" w:hAnsi="Calibri"/>
          <w:b w:val="false"/>
          <w:bCs w:val="false"/>
          <w:i w:val="false"/>
          <w:iCs w:val="false"/>
          <w:color w:val="1A1A1A"/>
          <w:sz w:val="21"/>
          <w:szCs w:val="21"/>
        </w:rPr>
        <w:t xml:space="preserve">Geen modelantwoord — beoordeel aan de hand van de eisen in het werkboek en de volgende aandachtspunten: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Toetsbaarheid.</w:t>
      </w:r>
      <w:r>
        <w:rPr>
          <w:rFonts w:ascii="Calibri" w:cs="Calibri" w:eastAsia="Calibri" w:hAnsi="Calibri"/>
          <w:b w:val="false"/>
          <w:bCs w:val="false"/>
          <w:i w:val="false"/>
          <w:iCs w:val="false"/>
          <w:color w:val="1A1A1A"/>
          <w:sz w:val="21"/>
          <w:szCs w:val="21"/>
        </w:rPr>
        <w:t xml:space="preserve"> De belangrijkste beoordelingsvraag: kan een reviewer objectief vaststellen of een model aan deze regel voldoet? "Modellen moeten duidelijk zijn" is geen regel; "elke activiteit heeft de vorm werkwoord + object" is dat wel.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 drie afdelingsspecifieke regels.</w:t>
      </w:r>
      <w:r>
        <w:rPr>
          <w:rFonts w:ascii="Calibri" w:cs="Calibri" w:eastAsia="Calibri" w:hAnsi="Calibri"/>
          <w:b w:val="false"/>
          <w:bCs w:val="false"/>
          <w:i w:val="false"/>
          <w:iCs w:val="false"/>
          <w:color w:val="1A1A1A"/>
          <w:sz w:val="21"/>
          <w:szCs w:val="21"/>
        </w:rPr>
        <w:t xml:space="preserve"> Verwacht regels die de spanning tussen hoog-volume (Deelnemer-, Werkgevermutaties) en dossiergedreven (Klachten &amp; Bezwaren, Bijzondere Situaties) werk erkennen — bijvoorbeeld een regel over wanneer een CMMN-model verplicht is versus wanneer BPMN volstaat, direct voortbouwend op de keuzeboom uit niveau 1, deel 8.</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Omvang.</w:t>
      </w:r>
      <w:r>
        <w:rPr>
          <w:rFonts w:ascii="Calibri" w:cs="Calibri" w:eastAsia="Calibri" w:hAnsi="Calibri"/>
          <w:b w:val="false"/>
          <w:bCs w:val="false"/>
          <w:i w:val="false"/>
          <w:iCs w:val="false"/>
          <w:color w:val="1A1A1A"/>
          <w:sz w:val="21"/>
          <w:szCs w:val="21"/>
        </w:rPr>
        <w:t xml:space="preserve"> Vier pagina's is een harde grens; een deelnemer die twaalf pagina's inlevert, heeft de kernboodschap van §11.3 gemist, ongeacht de kwaliteit van de individuele regels.</w:t>
      </w:r>
    </w:p>
    <w:p>
      <w:pPr>
        <w:spacing w:after="160" w:line="300"/>
        <w:jc w:val="left"/>
      </w:pPr>
      <w:r>
        <w:rPr>
          <w:rFonts w:ascii="Calibri" w:cs="Calibri" w:eastAsia="Calibri" w:hAnsi="Calibri"/>
          <w:b/>
          <w:bCs/>
          <w:i w:val="false"/>
          <w:iCs w:val="false"/>
          <w:color w:val="1A1A1A"/>
          <w:sz w:val="21"/>
          <w:szCs w:val="21"/>
        </w:rPr>
        <w:t xml:space="preserve">Veelgemaakte fout.</w:t>
      </w:r>
      <w:r>
        <w:rPr>
          <w:rFonts w:ascii="Calibri" w:cs="Calibri" w:eastAsia="Calibri" w:hAnsi="Calibri"/>
          <w:b w:val="false"/>
          <w:bCs w:val="false"/>
          <w:i w:val="false"/>
          <w:iCs w:val="false"/>
          <w:color w:val="1A1A1A"/>
          <w:sz w:val="21"/>
          <w:szCs w:val="21"/>
        </w:rPr>
        <w:t xml:space="preserve"> Deelnemers formuleren vaak regels die eigenlijk stijlvoorkeuren zijn (bijvoorbeeld de exacte bewoording van labels) als verplicht, terwijl structureel toetsbare regels (poolgrenzen, splitsings-/samenkomsttype) soms als aanbevolen worden weggezet omdat de deelnemer ze "voor de hand liggend" vindt. Corrigeer dit expliciet: voor de hand liggend is geen reden om iets niet te formaliseren.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Reviewprotocol ontwerpen</w:t>
      </w:r>
    </w:p>
    <w:p>
      <w:pPr>
        <w:spacing w:after="160" w:line="300"/>
        <w:jc w:val="left"/>
      </w:pPr>
      <w:r>
        <w:rPr>
          <w:rFonts w:ascii="Calibri" w:cs="Calibri" w:eastAsia="Calibri" w:hAnsi="Calibri"/>
          <w:b w:val="false"/>
          <w:bCs w:val="false"/>
          <w:i w:val="false"/>
          <w:iCs w:val="false"/>
          <w:color w:val="1A1A1A"/>
          <w:sz w:val="21"/>
          <w:szCs w:val="21"/>
        </w:rPr>
        <w:t xml:space="preserve">Verwacht een BPMN-model met minimaal: indienen door de modelleur, geautomatiseerde structurele toets (indien de tool dat ondersteunt), peer review, inhoudelijke review door de proceseigenaar, en een vrijgave- of terugstuurpad. Een goed model onderscheidt expliciet het geautomatiseerde deel van het menselijke deel — een directe toepassing van niveau 1, deel 5, §5.4 (structureel versus semantisch) op het reviewproces zelf.</w:t>
      </w:r>
    </w:p>
    <w:p>
      <w:pPr>
        <w:spacing w:after="160" w:line="300"/>
        <w:jc w:val="left"/>
      </w:pPr>
      <w:r>
        <w:rPr>
          <w:rFonts w:ascii="Calibri" w:cs="Calibri" w:eastAsia="Calibri" w:hAnsi="Calibri"/>
          <w:b/>
          <w:bCs/>
          <w:i w:val="false"/>
          <w:iCs w:val="false"/>
          <w:color w:val="1A1A1A"/>
          <w:sz w:val="21"/>
          <w:szCs w:val="21"/>
        </w:rPr>
        <w:t xml:space="preserve">Bespreekpunt.</w:t>
      </w:r>
      <w:r>
        <w:rPr>
          <w:rFonts w:ascii="Calibri" w:cs="Calibri" w:eastAsia="Calibri" w:hAnsi="Calibri"/>
          <w:b w:val="false"/>
          <w:bCs w:val="false"/>
          <w:i w:val="false"/>
          <w:iCs w:val="false"/>
          <w:color w:val="1A1A1A"/>
          <w:sz w:val="21"/>
          <w:szCs w:val="21"/>
        </w:rPr>
        <w:t xml:space="preserve"> Dit is een goede gelegenheid om te wijzen op de ironie — en het nut — van het modelleren van je eigen kwaliteitsproces met dezelfde taal die je probeert te bewaken.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Beoordeel een richtlijn</w:t>
      </w:r>
    </w:p>
    <w:p>
      <w:pPr>
        <w:spacing w:after="160" w:line="300"/>
        <w:jc w:val="left"/>
      </w:pPr>
      <w:r>
        <w:rPr>
          <w:rFonts w:ascii="Calibri" w:cs="Calibri" w:eastAsia="Calibri" w:hAnsi="Calibri"/>
          <w:b w:val="false"/>
          <w:bCs w:val="false"/>
          <w:i w:val="false"/>
          <w:iCs w:val="false"/>
          <w:color w:val="1A1A1A"/>
          <w:sz w:val="21"/>
          <w:szCs w:val="21"/>
        </w:rPr>
        <w:t xml:space="preserve">Laat tijdens het rondlopen zien welke van de drie beoordelingsvragen het meest uiteenlopende antwoorden oplevert — meestal vraag 2 (verplicht/aanbevolen-verdeling). Gebruik dat voor een korte plenaire nabespreking als er tijd is.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Stellingen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Breed gedragen, sluit direct aan bij de kern van §11.4.</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Verdedigbaar in beide richtingen: vóór — consistentie vereist centrale sturing; tegen — een richtlijn die het team niet heeft meegevormd, wordt niet gedragen. Een goede middenpositie: de architect stelt de kaders, het team vult de praktijkregels in.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Prikkelend en niet letterlijk waar (de eis in opdracht 3 is vier pagina's, niet vijf) maar een goede aanleiding om de valkuil uit §11.3 te herhalen.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Bewust eenzijdig geformuleerd om tegenspraak uit te lokken — verwijs naar opdracht 2: er is geen winnaar, alleen een afweging met gevolgen voor eigenaarschap.</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Een richtlijn schrijven als verzameling niveau-1-conventies zonder afdelingsspecifieke laag.</w:t>
      </w:r>
      <w:r>
        <w:rPr>
          <w:rFonts w:ascii="Calibri" w:cs="Calibri" w:eastAsia="Calibri" w:hAnsi="Calibri"/>
          <w:b w:val="false"/>
          <w:bCs w:val="false"/>
          <w:i w:val="false"/>
          <w:iCs w:val="false"/>
          <w:color w:val="1A1A1A"/>
          <w:sz w:val="21"/>
          <w:szCs w:val="21"/>
        </w:rPr>
        <w:t xml:space="preserve"> De eis van drie afdelingsspecifieke regels in opdracht 3 is er expliciet om dit te voorkomen.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Alles verplicht maken</w:t>
      </w:r>
      <w:r>
        <w:rPr>
          <w:rFonts w:ascii="Calibri" w:cs="Calibri" w:eastAsia="Calibri" w:hAnsi="Calibri"/>
          <w:b w:val="false"/>
          <w:bCs w:val="false"/>
          <w:i w:val="false"/>
          <w:iCs w:val="false"/>
          <w:color w:val="1A1A1A"/>
          <w:sz w:val="21"/>
          <w:szCs w:val="21"/>
        </w:rPr>
        <w:t xml:space="preserve"> uit een reflex naar "grondigheid" — zie het veelgemaakte-foutpunt bij opdracht 3.</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 procesplaat en de modelleerrichtlijn los van elkaar behandelen</w:t>
      </w:r>
      <w:r>
        <w:rPr>
          <w:rFonts w:ascii="Calibri" w:cs="Calibri" w:eastAsia="Calibri" w:hAnsi="Calibri"/>
          <w:b w:val="false"/>
          <w:bCs w:val="false"/>
          <w:i w:val="false"/>
          <w:iCs w:val="false"/>
          <w:color w:val="1A1A1A"/>
          <w:sz w:val="21"/>
          <w:szCs w:val="21"/>
        </w:rPr>
        <w:t xml:space="preserve">, terwijl de afbakeningskeuzes uit opdracht 1-2 direct de afdelingsspecifieke regels in opdracht 3 zouden moeten voeden.</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Procesarchitectuur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Geen consistente lagen, overlap niet herkend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Consistente lagen, overlap benoemd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Overlap benoemd én vertaald naar een expliciete afbakeningskeuze</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Snijding</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Kiest zonder de criteria toe te passen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Past de drie criteria toe op één variant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Werkt beide varianten uit en beargumenteert de afweging</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Modelleerrichtlijn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Regels niet toetsbaar, geen verplicht/aanbevolen-onderscheid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Toetsbare regels, verdeling aanwezig maar weinig onderbouwd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Toetsbare regels, verdeling verdedigbaar onderbouwd, afdelingsspecifieke laag aanwezig</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Reviewprotocol</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Geen onderscheid tussen soorten review</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Rollen en momenten benoemd</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Onderscheid geautomatiseerd/menselijk expliciet, escalatiepad aanwezig</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toegang tot Conductus voor opdracht 4, de casusbeschrijving van het Programma Mutatieplatform als uitgereikt document (uit de reader), voldoende tijd tussen dagdelen voor de verwerking van opdracht 3.</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11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2026-08-17T15:44:25.480Z</dcterms:created>
  <dcterms:modified xsi:type="dcterms:W3CDTF">2026-08-17T15:44:25.481Z</dcterms:modified>
</cp:coreProperties>
</file>

<file path=docProps/custom.xml><?xml version="1.0" encoding="utf-8"?>
<Properties xmlns="http://schemas.openxmlformats.org/officeDocument/2006/custom-properties" xmlns:vt="http://schemas.openxmlformats.org/officeDocument/2006/docPropsVTypes"/>
</file>