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13</w:t>
      </w:r>
    </w:p>
    <w:p>
      <w:pPr>
        <w:spacing w:after="300"/>
      </w:pPr>
      <w:r>
        <w:rPr>
          <w:rFonts w:ascii="Calibri" w:cs="Calibri" w:eastAsia="Calibri" w:hAnsi="Calibri"/>
          <w:b/>
          <w:bCs/>
          <w:color w:val="14213D"/>
          <w:sz w:val="32"/>
          <w:szCs w:val="32"/>
        </w:rPr>
        <w:t xml:space="preserve">Docentenhandleiding — BPMN gevorderd I: samenwerking en uitzonderingen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Waar niveau 1, deel 4 de analytic subclass als notatie behandelde, behandelt dit deel dezelfde elementen als ontwerpkeuze. Bewaak dat onderscheid actief: als een deelnemer een error event correct kan tekenen maar niet kan uitleggen waarom het hier een error is en geen escalation, is de kern van dit deel gemist. Stel bij elke opdracht de vraag "waarom deze keuze, en niet de andere" net zo vaak als "is dit correct getekend".</w:t>
      </w:r>
    </w:p>
    <w:p>
      <w:pPr>
        <w:spacing w:after="160" w:line="300"/>
        <w:jc w:val="left"/>
      </w:pPr>
      <w:r>
        <w:rPr>
          <w:rFonts w:ascii="Calibri" w:cs="Calibri" w:eastAsia="Calibri" w:hAnsi="Calibri"/>
          <w:b w:val="false"/>
          <w:bCs w:val="false"/>
          <w:i w:val="false"/>
          <w:iCs w:val="false"/>
          <w:color w:val="1A1A1A"/>
          <w:sz w:val="21"/>
          <w:szCs w:val="21"/>
        </w:rPr>
        <w:t xml:space="preserve">Tweede aandachtspunt: correlatie (§13.3) wordt door business-georiënteerde deelnemers vaak als "te technisch" weggezet. Weersta die framing vanaf het begin — het voorbeeld in de reader (een dossier dat een al binnengekomen bevestiging nooit koppelt) is bewust een businessgevolg, geen technisch detail.</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4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12, programma</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0:30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Drie diagramtypen (§13.1)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13.1</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0:30 – 0:50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plenair nabespreken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0:50 – 1:05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Meerdere pools in de praktijk (§13.2)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1:05 – 1:20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1:20 – 1:45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Correlatie (§13.3)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13.2, casusfragment</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1:45 – 2:25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Conductus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2:25 – 2:40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Foutafhandeling ontworpen (§13.4)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13.3</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2:40 – 2:55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2:55 – 3:15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klassikaal enkele situaties bespreken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3:15 – 3:35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Transacties en compensatie (§13.5) — opdracht 4 starten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 start deliverable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3:35 – 4:00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Leesbaar houden (§13.6), opdracht 5 (indien tijd), vooruitblik</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 tweetallen</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Bij tijdsdruk: opdracht 5 kan als huiswerk. Opdracht 4 mag deels doorlopen na het dagdeel — geef een duidelijke inleverdatum.</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Kies het diagramtype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Antwoord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Waarom niet de andere twee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Choreography</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Collaboration zou (een deel van) het interne proces suggereren te tonen; conversation is te abstract voor een specificatie.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Conversation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Collaboration is te gedetailleerd voor een eerste overzicht; choreography vereist al kennis van de precieze berichtvolgorde.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Collaboration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Choreography toont geen intern proces; conversation is te abstract.</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Choreography</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Precies het zuivere geval waar deze notatie voor bedoeld is — het onderwerp is de berichtuitwisseling zelf.</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Conversation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Collaboration en choreography zijn beide te gedetailleerd voor een stuurgroeppresentatie van twee minuten.</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Situatie 1 en 4 zijn de enige twee waar choreography het juiste antwoord is — bewust schaars gehouden, in lijn met §13.1's boodschap dat je dit diagramtype zelden nodig hebt. Laat deelnemers zelf constateren dat vier van de vijf situaties niet om choreography vragen.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Ketenmodel</w:t>
      </w:r>
    </w:p>
    <w:p>
      <w:pPr>
        <w:spacing w:after="160" w:line="300"/>
        <w:jc w:val="left"/>
      </w:pPr>
      <w:r>
        <w:rPr>
          <w:rFonts w:ascii="Calibri" w:cs="Calibri" w:eastAsia="Calibri" w:hAnsi="Calibri"/>
          <w:b w:val="false"/>
          <w:bCs w:val="false"/>
          <w:i w:val="false"/>
          <w:iCs w:val="false"/>
          <w:color w:val="1A1A1A"/>
          <w:sz w:val="21"/>
          <w:szCs w:val="21"/>
        </w:rPr>
        <w:t xml:space="preserve">Referentiemodel beschikbaar als BPMN-XML voor import. Controleer: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de tweede pool daadwerkelijk collapsed (geen verzonnen intern proces van de ketenpartner)?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de correlatiesleutel concreet benoemd (niet alleen "een uniek kenmerk" maar de daadwerkelijke combinatie van velden)?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de motivatie voor de sleutelkeuze inhoudelijk — waarom is déze combinatie uniek genoeg, en wat zou er misgaan met een zwakkere sleutel?</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Fout of businessuitkomst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Antwoord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Wie wordt geïnformeerd</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Error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Technisch beheerteam</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Escalation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Teamleider/proceseigenaar</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Error (technisch) — maar zie bespreekpunt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Technisch beheerteam, mogelijk ook de business rule-eigenaar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Escalation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Proceseigenaar Klachten &amp; Bezwaren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Error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Technisch beheerteam (correlatieprobleem)</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6</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Escalation (handmatig gemarkeerd)</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Teamleider</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7</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van beide — dit is een reguliere validatie binnen de happy path, geen uitzondering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Niemand — dit hoort in het hoofdpad</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8</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Escalation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Teamleider</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9</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Error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Technisch beheerteam</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Dossierwerk / CMMN-signaal, geen BPMN-event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Behandelaar (via casemodel, niet via event)</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Situatie 3 is met opzet dubbelzinnig: een DMN-decision die faalt door een ontbrekende inputwaarde kan een technische fout zijn (het proces leverde de verkeerde data) óf een teken dat de beslistabel niet volledig is (niveau 1, deel 6, §6.5) — in het laatste geval is de "fout" eigenlijk een modelleergebrek dat aan het licht komt, geen operationele storing. Laat deelnemers beide interpretaties benoemen.</w:t>
      </w:r>
    </w:p>
    <w:p>
      <w:pPr>
        <w:spacing w:after="160" w:line="300"/>
        <w:jc w:val="left"/>
      </w:pPr>
      <w:r>
        <w:rPr>
          <w:rFonts w:ascii="Calibri" w:cs="Calibri" w:eastAsia="Calibri" w:hAnsi="Calibri"/>
          <w:b w:val="false"/>
          <w:bCs w:val="false"/>
          <w:i w:val="false"/>
          <w:iCs w:val="false"/>
          <w:color w:val="1A1A1A"/>
          <w:sz w:val="21"/>
          <w:szCs w:val="21"/>
        </w:rPr>
        <w:t xml:space="preserve">Situatie 7 en 10 zijn afleiders: 7 hoort helemaal niet in dit rijtje thuis (het is normale validatie, geen uitzondering — een leermoment op zich), en 10 is een signaal dat teruggrijpt naar niveau 1, deel 8: dit soort samenloop hoort eerder in een casemodel dan als BPMN-event te worden afgehandeld.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Compensatie ontwerpen</w:t>
      </w:r>
    </w:p>
    <w:p>
      <w:pPr>
        <w:spacing w:after="160" w:line="300"/>
        <w:jc w:val="left"/>
      </w:pPr>
      <w:r>
        <w:rPr>
          <w:rFonts w:ascii="Calibri" w:cs="Calibri" w:eastAsia="Calibri" w:hAnsi="Calibri"/>
          <w:b w:val="false"/>
          <w:bCs w:val="false"/>
          <w:i w:val="false"/>
          <w:iCs w:val="false"/>
          <w:color w:val="1A1A1A"/>
          <w:sz w:val="21"/>
          <w:szCs w:val="21"/>
        </w:rPr>
        <w:t xml:space="preserve">Geen uniek modelantwoord. Kernpunt van beoordeling: de compensatiehandeling voor de verstuurde brief moet een concrete, businessmatige handeling zijn — bijvoorbeeld het versturen van een corrigerende brief met uitleg, niet een technische "undo". Beoordeel of de deelnemer expliciet het onderscheid maakt tussen makkelijk compenseerbare stappen (interne statuswijzigingen, systeemvelden) en stappen die alleen benaderend te compenseren zijn (externe communicatie).</w:t>
      </w:r>
    </w:p>
    <w:p>
      <w:pPr>
        <w:spacing w:after="160" w:line="300"/>
        <w:jc w:val="left"/>
      </w:pPr>
      <w:r>
        <w:rPr>
          <w:rFonts w:ascii="Calibri" w:cs="Calibri" w:eastAsia="Calibri" w:hAnsi="Calibri"/>
          <w:b/>
          <w:bCs/>
          <w:i w:val="false"/>
          <w:iCs w:val="false"/>
          <w:color w:val="1A1A1A"/>
          <w:sz w:val="21"/>
          <w:szCs w:val="21"/>
        </w:rPr>
        <w:t xml:space="preserve">Veelgemaakte fout.</w:t>
      </w:r>
      <w:r>
        <w:rPr>
          <w:rFonts w:ascii="Calibri" w:cs="Calibri" w:eastAsia="Calibri" w:hAnsi="Calibri"/>
          <w:b w:val="false"/>
          <w:bCs w:val="false"/>
          <w:i w:val="false"/>
          <w:iCs w:val="false"/>
          <w:color w:val="1A1A1A"/>
          <w:sz w:val="21"/>
          <w:szCs w:val="21"/>
        </w:rPr>
        <w:t xml:space="preserve"> Deelnemers modelleren compensatie soms als het simpelweg "terugzetten" van elke stap, zonder na te denken over wat dat voor een reeds verstuurde brief betekent. Dit is precies de denkfout die §13.5 beoogt te corrigeren.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Herontwerp voor leesbaarheid</w:t>
      </w:r>
    </w:p>
    <w:p>
      <w:pPr>
        <w:spacing w:after="160" w:line="300"/>
        <w:jc w:val="left"/>
      </w:pPr>
      <w:r>
        <w:rPr>
          <w:rFonts w:ascii="Calibri" w:cs="Calibri" w:eastAsia="Calibri" w:hAnsi="Calibri"/>
          <w:b w:val="false"/>
          <w:bCs w:val="false"/>
          <w:i w:val="false"/>
          <w:iCs w:val="false"/>
          <w:color w:val="1A1A1A"/>
          <w:sz w:val="21"/>
          <w:szCs w:val="21"/>
        </w:rPr>
        <w:t xml:space="preserve">Geen uniek antwoord. Verwacht dat deelnemers splitsen op basis van frequentie (zeldzame uitzonderingen naar een apart model) of op basis van aard (technische fouten apart van businessescalaties). Beide zijn verdedigbaar; beoordeel of het gekozen criterium consistent is toegepast, niet welk criterium gekozen werd.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Prikkelend om tegen te spreken: niet elke technische fout hoeft zichtbaar te zijn in het businessmodel — sommige worden op een lager, uitvoeringsniveau afgehandeld zonder dat de business-analist ze in het analysemodel hoeft te tonen (vooruitwijzing naar deel 19).</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sluit direct aan bij §13.1's slotzin.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Filosofisch interessant en waar in de kern — goed voor een korte discussie, geen harde toets.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Bewust af te wijzen: het casusfragment in §13.3 laat precies zien waarom correlatie een businessgevolg heeft. Verwacht en corrigeer instemming met deze stelling stevig.</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Choreography kiezen "omdat het geleerd is"</w:t>
      </w:r>
      <w:r>
        <w:rPr>
          <w:rFonts w:ascii="Calibri" w:cs="Calibri" w:eastAsia="Calibri" w:hAnsi="Calibri"/>
          <w:b w:val="false"/>
          <w:bCs w:val="false"/>
          <w:i w:val="false"/>
          <w:iCs w:val="false"/>
          <w:color w:val="1A1A1A"/>
          <w:sz w:val="21"/>
          <w:szCs w:val="21"/>
        </w:rPr>
        <w:t xml:space="preserve"> ook waar collaboration voldoet — herinner aan de schaarste die opdracht 1 laat zien.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Correlatie als bijzaak behandelen</w:t>
      </w:r>
      <w:r>
        <w:rPr>
          <w:rFonts w:ascii="Calibri" w:cs="Calibri" w:eastAsia="Calibri" w:hAnsi="Calibri"/>
          <w:b w:val="false"/>
          <w:bCs w:val="false"/>
          <w:i w:val="false"/>
          <w:iCs w:val="false"/>
          <w:color w:val="1A1A1A"/>
          <w:sz w:val="21"/>
          <w:szCs w:val="21"/>
        </w:rPr>
        <w:t xml:space="preserve"> in plaats van als expliciet, benoemd ontwerpelement — zie het aandachtspunt hierboven.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Error en escalation door elkaar gebruiken</w:t>
      </w:r>
      <w:r>
        <w:rPr>
          <w:rFonts w:ascii="Calibri" w:cs="Calibri" w:eastAsia="Calibri" w:hAnsi="Calibri"/>
          <w:b w:val="false"/>
          <w:bCs w:val="false"/>
          <w:i w:val="false"/>
          <w:iCs w:val="false"/>
          <w:color w:val="1A1A1A"/>
          <w:sz w:val="21"/>
          <w:szCs w:val="21"/>
        </w:rPr>
        <w:t xml:space="preserve"> zonder de vraag "wie wordt hierdoor geïnformeerd, en waarom" te stellen.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Compensatie als technische undo zien</w:t>
      </w:r>
      <w:r>
        <w:rPr>
          <w:rFonts w:ascii="Calibri" w:cs="Calibri" w:eastAsia="Calibri" w:hAnsi="Calibri"/>
          <w:b w:val="false"/>
          <w:bCs w:val="false"/>
          <w:i w:val="false"/>
          <w:iCs w:val="false"/>
          <w:color w:val="1A1A1A"/>
          <w:sz w:val="21"/>
          <w:szCs w:val="21"/>
        </w:rPr>
        <w:t xml:space="preserve"> in plaats van als businesshandeling — de kern van opdracht 4's veelgemaakte fout.</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Diagramtype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Kiest willekeurig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Kiest passend in eenduidige gevallen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Beargumenteert waarom niet de andere twee, herkent de schaarste van choreography</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Correlatie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Geen of ongemotiveerde sleutel</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Correlatiesleutel aanwezig en benoemd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Sleutel gemotiveerd, risico van een zwakkere sleutel benoemd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Foutafhandeling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Error en escalation door elkaar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Correct onderscheid in eenduidige gevallen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Correct onderscheid, benoemt wie geïnformeerd wordt en waarom</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Compensatie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Compensatie als technische undo</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Compensatie als businesshandeling voor eenvoudige stappen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Compensatie doordacht voor lastige stappen (verstuurde communicatie), onderscheid tussen soorten compensatie expliciet</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toegang tot Conductus, BPMN-XML referentiemodel voor opdracht 2, het overvolle model voor opdracht 5 als uitgereikt document.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13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2026-08-17T15:44:27.402Z</dcterms:created>
  <dcterms:modified xsi:type="dcterms:W3CDTF">2026-08-17T15:44:27.403Z</dcterms:modified>
</cp:coreProperties>
</file>

<file path=docProps/custom.xml><?xml version="1.0" encoding="utf-8"?>
<Properties xmlns="http://schemas.openxmlformats.org/officeDocument/2006/custom-properties" xmlns:vt="http://schemas.openxmlformats.org/officeDocument/2006/docPropsVTypes"/>
</file>