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2 — Praktijk · Deel 13</w:t>
      </w:r>
    </w:p>
    <w:p>
      <w:pPr>
        <w:spacing w:after="300"/>
      </w:pPr>
      <w:r>
        <w:rPr>
          <w:rFonts w:ascii="Calibri" w:cs="Calibri" w:eastAsia="Calibri" w:hAnsi="Calibri"/>
          <w:b/>
          <w:bCs/>
          <w:color w:val="14213D"/>
          <w:sz w:val="34"/>
          <w:szCs w:val="34"/>
        </w:rPr>
        <w:t xml:space="preserve">Werkboek — BPMN gevorderd I: samenwerking en uitzonderingen</w:t>
      </w:r>
    </w:p>
    <w:p>
      <w:pPr>
        <w:spacing w:after="160" w:line="300"/>
        <w:jc w:val="left"/>
      </w:pPr>
      <w:r>
        <w:rPr>
          <w:rFonts w:ascii="Calibri" w:cs="Calibri" w:eastAsia="Calibri" w:hAnsi="Calibri"/>
          <w:b w:val="false"/>
          <w:bCs w:val="false"/>
          <w:i w:val="false"/>
          <w:iCs w:val="false"/>
          <w:color w:val="1A1A1A"/>
          <w:sz w:val="21"/>
          <w:szCs w:val="21"/>
        </w:rPr>
        <w:t xml:space="preserve">Werk de opdrachten in volgorde. Opdracht 1 individueel, opdracht 2 (deliverable) individueel in Conductus, opdracht 3 individueel, opdracht 4 (kerndeliverable) individueel, opdracht 5 in tweetallen, opdracht 6 plenair. Reken op ± 4 uur.</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Kies het diagramtype</w:t>
      </w:r>
    </w:p>
    <w:p>
      <w:pPr>
        <w:spacing w:after="160" w:line="300"/>
        <w:jc w:val="left"/>
      </w:pPr>
      <w:r>
        <w:rPr>
          <w:rFonts w:ascii="Calibri" w:cs="Calibri" w:eastAsia="Calibri" w:hAnsi="Calibri"/>
          <w:b w:val="false"/>
          <w:bCs w:val="false"/>
          <w:i w:val="false"/>
          <w:iCs w:val="false"/>
          <w:color w:val="1A1A1A"/>
          <w:sz w:val="21"/>
          <w:szCs w:val="21"/>
        </w:rPr>
        <w:t xml:space="preserve">Voor elke situatie: collaboration, choreography, of conversation diagram — en waarom niet de andere twee?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specificeren van een interorganisatorisch berichtenprotocol tussen Meridiaan en een ketenpartner die elk hun interne proces geheim willen houden.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eerste overzicht maken van alle partijen waarmee het Mutatieplatform berichten uitwisselt, voordat je in detail gaat.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volledige interne proces van Waardeoverdrachten tonen, inclusief de communicatie met de externe partij.</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technisch koppelvlakteam dat precies wil weten welke berichten in welke volgorde tussen twee systemen gaan, zonder interesse in wie er intern iets mee doet.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presentatie aan de stuurgroep die in twee minuten moet laten zien welke afdelingen met welke externe partijen te maken hebben.</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Ketenmodel *(deliverable)*</w:t>
      </w:r>
    </w:p>
    <w:p>
      <w:pPr>
        <w:spacing w:after="160" w:line="300"/>
        <w:jc w:val="left"/>
      </w:pPr>
      <w:r>
        <w:rPr>
          <w:rFonts w:ascii="Calibri" w:cs="Calibri" w:eastAsia="Calibri" w:hAnsi="Calibri"/>
          <w:b w:val="false"/>
          <w:bCs w:val="false"/>
          <w:i w:val="false"/>
          <w:iCs w:val="false"/>
          <w:color w:val="1A1A1A"/>
          <w:sz w:val="21"/>
          <w:szCs w:val="21"/>
        </w:rPr>
        <w:t xml:space="preserve">Modelleer in Conductus het proces </w:t>
      </w:r>
      <w:r>
        <w:rPr>
          <w:rFonts w:ascii="Calibri" w:cs="Calibri" w:eastAsia="Calibri" w:hAnsi="Calibri"/>
          <w:b/>
          <w:bCs/>
          <w:i w:val="false"/>
          <w:iCs w:val="false"/>
          <w:color w:val="1A1A1A"/>
          <w:sz w:val="21"/>
          <w:szCs w:val="21"/>
        </w:rPr>
        <w:t xml:space="preserve">Waardeoverdracht tussen Meridiaan en een andere pensioenuitvoerder</w:t>
      </w:r>
      <w:r>
        <w:rPr>
          <w:rFonts w:ascii="Calibri" w:cs="Calibri" w:eastAsia="Calibri" w:hAnsi="Calibri"/>
          <w:b w:val="false"/>
          <w:bCs w:val="false"/>
          <w:i w:val="false"/>
          <w:iCs w:val="false"/>
          <w:color w:val="1A1A1A"/>
          <w:sz w:val="21"/>
          <w:szCs w:val="21"/>
        </w:rPr>
        <w:t xml:space="preserve">, als collaboration diagram met: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Beide pools (Meridiaan met het interne proces, de andere uitvoerder als collapsed pool).</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Message flows voor de aanvraag en de bevestiging.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expliciete, benoemde correlatiesleutel, gedocumenteerd in een tekstannotatie: welke gegevens, en waarom deze combinatie voldoende uniek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Fout of businessuitkomst</w:t>
      </w:r>
    </w:p>
    <w:p>
      <w:pPr>
        <w:spacing w:after="160" w:line="300"/>
        <w:jc w:val="left"/>
      </w:pPr>
      <w:r>
        <w:rPr>
          <w:rFonts w:ascii="Calibri" w:cs="Calibri" w:eastAsia="Calibri" w:hAnsi="Calibri"/>
          <w:b w:val="false"/>
          <w:bCs w:val="false"/>
          <w:i w:val="false"/>
          <w:iCs w:val="false"/>
          <w:color w:val="1A1A1A"/>
          <w:sz w:val="21"/>
          <w:szCs w:val="21"/>
        </w:rPr>
        <w:t xml:space="preserve">Classificeer tien scenario's als technische storing (error) of geaccepteerd businessscenario (escalation), met het bijpassende eventtype en wie er in elk geval geïnformeerd moet worden.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koppelvlak naar het legacy-systeem geeft een timeout.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waardeoverdracht overschrijdt de norm-doorlooptijd van 30 dagen.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DMN-decision retourneert een onverwachte fout door een ontbrekende inputwaarde.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klacht wordt na 60 dagen nog niet afgehandeld.</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bericht van de ketenpartner mist de correlatiesleutel en kan niet worden gematcht.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medewerker markeert een dossier handmatig als "vertraagd door externe factor".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Het portaal geeft een validatiefout bij een ongeldig ingevoerd bankrekeningnummer.</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goedkeuring blijft langer dan 5 dagen liggen zonder actie.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systeemcall naar SAP FS-PM retourneert een onbekende foutcode.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deelnemer dient een tweede, tegenstrijdige aanvraag in terwijl de eerste nog in behandeling is.</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4 — Compensatie ontwerpen *(kerndeliverable)*</w:t>
      </w:r>
    </w:p>
    <w:p>
      <w:pPr>
        <w:spacing w:after="160" w:line="300"/>
        <w:jc w:val="left"/>
      </w:pPr>
      <w:r>
        <w:rPr>
          <w:rFonts w:ascii="Calibri" w:cs="Calibri" w:eastAsia="Calibri" w:hAnsi="Calibri"/>
          <w:b w:val="false"/>
          <w:bCs w:val="false"/>
          <w:i w:val="false"/>
          <w:iCs w:val="false"/>
          <w:color w:val="1A1A1A"/>
          <w:sz w:val="21"/>
          <w:szCs w:val="21"/>
        </w:rPr>
        <w:t xml:space="preserve">Voor het proces Waardeoverdrachten: ontwerp een transactie waarin, als de aanvraag na het versturen van een bevestigingsbrief aan de deelnemer alsnog moet worden afgebroken (bijvoorbeeld door een laattijdige afwijzing van de ketenpartner), de eerdere stappen gecompenseerd moeten worden.</w:t>
      </w:r>
    </w:p>
    <w:p>
      <w:pPr>
        <w:spacing w:after="160" w:line="300"/>
        <w:jc w:val="left"/>
      </w:pPr>
      <w:r>
        <w:rPr>
          <w:rFonts w:ascii="Calibri" w:cs="Calibri" w:eastAsia="Calibri" w:hAnsi="Calibri"/>
          <w:b/>
          <w:bCs/>
          <w:i w:val="false"/>
          <w:iCs w:val="false"/>
          <w:color w:val="1A1A1A"/>
          <w:sz w:val="21"/>
          <w:szCs w:val="21"/>
        </w:rPr>
        <w:t xml:space="preserve">Eisen: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Modelleer de transactie met minstens twee compensatiehandlers.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Voor de reeds verstuurde brief: ontwerp een concrete compensatiehandeling (geen "brief intrekken" — dat kan niet) en documenteer waarom dit de juiste businesshandeling is.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Benoem expliciet welke stappen wél eenvoudig te compenseren zijn (bijvoorbeeld een interne statuswijziging) en welke niet, en wat dat verschil betekent voor je ontwerp.</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5 — Herontwerp voor leesbaarheid *(tweetallen)*</w:t>
      </w:r>
    </w:p>
    <w:p>
      <w:pPr>
        <w:spacing w:after="160" w:line="300"/>
        <w:jc w:val="left"/>
      </w:pPr>
      <w:r>
        <w:rPr>
          <w:rFonts w:ascii="Calibri" w:cs="Calibri" w:eastAsia="Calibri" w:hAnsi="Calibri"/>
          <w:b w:val="false"/>
          <w:bCs w:val="false"/>
          <w:i w:val="false"/>
          <w:iCs w:val="false"/>
          <w:color w:val="1A1A1A"/>
          <w:sz w:val="21"/>
          <w:szCs w:val="21"/>
        </w:rPr>
        <w:t xml:space="preserve">Bij een aangeleverd, overvol model (vijftien uitzonderingspaden in één plaat, gebaseerd op een samengevoegde versie van meerdere Meridiaan-processen): splits het op in een leesbaar hoofdmodel plus een of meer aparte modellen voor de uitzonderingen. Motiveer de splitsing: welk criterium gebruikte je om te bepalen wat in het hoofdmodel blijft en wat niet?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6 — Stellingen *(plenair)*</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Elke technische fout hoort zichtbaar te zijn in het businessmodel.</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Choreography diagrams zijn in de praktijk overbodig — een collaboration diagram met een collapsed pool doet hetzelfde met minder notatie.</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Compensatie in een mensproces is per definitie onvolledig — je kunt een handeling nooit echt ongedaan maken, alleen rechtzetten.</w:t>
      </w:r>
    </w:p>
    <w:p>
      <w:pPr>
        <w:pStyle w:val="ListParagraph"/>
        <w:numPr>
          <w:ilvl w:val="0"/>
          <w:numId w:val="1"/>
        </w:numPr>
        <w:spacing w:after="100" w:line="290"/>
      </w:pPr>
      <w:r>
        <w:rPr>
          <w:rFonts w:ascii="Calibri" w:cs="Calibri" w:eastAsia="Calibri" w:hAnsi="Calibri"/>
          <w:b w:val="false"/>
          <w:bCs w:val="false"/>
          <w:i/>
          <w:iCs/>
          <w:color w:val="1A1A1A"/>
          <w:sz w:val="21"/>
          <w:szCs w:val="21"/>
        </w:rPr>
        <w:t xml:space="preserve">Correlatieproblemen zijn typisch "IT-problemen" die een business-analist niet hoeft te doorgronden.</w:t>
      </w:r>
    </w:p>
    <w:p>
      <w:pPr>
        <w:pStyle w:val="Heading2"/>
        <w:pBdr>
          <w:bottom w:val="single" w:color="2563A8" w:sz="6" w:space="4"/>
        </w:pBdr>
        <w:spacing w:after="160" w:before="300"/>
      </w:pPr>
      <w:r>
        <w:rPr>
          <w:rFonts w:ascii="Calibri" w:cs="Calibri" w:eastAsia="Calibri" w:hAnsi="Calibri"/>
          <w:b/>
          <w:bCs/>
          <w:color w:val="2563A8"/>
          <w:sz w:val="24"/>
          <w:szCs w:val="24"/>
        </w:rPr>
        <w:t xml:space="preserve">Vooruitblik</w:t>
      </w:r>
    </w:p>
    <w:p>
      <w:pPr>
        <w:spacing w:after="160" w:line="300"/>
        <w:jc w:val="left"/>
      </w:pPr>
      <w:r>
        <w:rPr>
          <w:rFonts w:ascii="Calibri" w:cs="Calibri" w:eastAsia="Calibri" w:hAnsi="Calibri"/>
          <w:b w:val="false"/>
          <w:bCs w:val="false"/>
          <w:i w:val="false"/>
          <w:iCs w:val="false"/>
          <w:color w:val="1A1A1A"/>
          <w:sz w:val="21"/>
          <w:szCs w:val="21"/>
        </w:rPr>
        <w:t xml:space="preserve">Deel 14 gaat verder met data, resources en de semantiek van mensprocessen versus systeemorchestratie — en confronteert je ontwerp voor het eerst expliciet met de beperkingen van het legacy-koppelvlak.</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13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2026-08-17T15:44:27.197Z</dcterms:created>
  <dcterms:modified xsi:type="dcterms:W3CDTF">2026-08-17T15:44:27.198Z</dcterms:modified>
</cp:coreProperties>
</file>

<file path=docProps/custom.xml><?xml version="1.0" encoding="utf-8"?>
<Properties xmlns="http://schemas.openxmlformats.org/officeDocument/2006/custom-properties" xmlns:vt="http://schemas.openxmlformats.org/officeDocument/2006/docPropsVTypes"/>
</file>