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rFonts w:ascii="Calibri" w:cs="Calibri" w:eastAsia="Calibri" w:hAnsi="Calibri"/>
          <w:b/>
          <w:bCs/>
          <w:color w:val="2563A8"/>
          <w:sz w:val="20"/>
          <w:szCs w:val="20"/>
        </w:rPr>
        <w:t xml:space="preserve">BPMN, CMMN &amp; DMN</w:t>
      </w:r>
    </w:p>
    <w:p>
      <w:pPr>
        <w:spacing w:after="40"/>
      </w:pPr>
      <w:r>
        <w:rPr>
          <w:rFonts w:ascii="Calibri" w:cs="Calibri" w:eastAsia="Calibri" w:hAnsi="Calibri"/>
          <w:color w:val="6B7280"/>
          <w:sz w:val="22"/>
          <w:szCs w:val="22"/>
        </w:rPr>
        <w:t xml:space="preserve">Niveau 2 — Praktijk · Deel 14</w:t>
      </w:r>
    </w:p>
    <w:p>
      <w:pPr>
        <w:spacing w:after="300"/>
      </w:pPr>
      <w:r>
        <w:rPr>
          <w:rFonts w:ascii="Calibri" w:cs="Calibri" w:eastAsia="Calibri" w:hAnsi="Calibri"/>
          <w:b/>
          <w:bCs/>
          <w:color w:val="14213D"/>
          <w:sz w:val="32"/>
          <w:szCs w:val="32"/>
        </w:rPr>
        <w:t xml:space="preserve">Docentenhandleiding — BPMN gevorderd II: data, resources en semantiek</w:t>
      </w:r>
    </w:p>
    <w:p>
      <w:pPr>
        <w:pStyle w:val="Heading2"/>
        <w:pBdr>
          <w:bottom w:val="single" w:color="2563A8" w:sz="6" w:space="4"/>
        </w:pBdr>
        <w:spacing w:after="160" w:before="300"/>
      </w:pPr>
      <w:r>
        <w:rPr>
          <w:rFonts w:ascii="Calibri" w:cs="Calibri" w:eastAsia="Calibri" w:hAnsi="Calibri"/>
          <w:b/>
          <w:bCs/>
          <w:color w:val="2563A8"/>
          <w:sz w:val="24"/>
          <w:szCs w:val="24"/>
        </w:rPr>
        <w:t xml:space="preserve">Doel en positie</w:t>
      </w:r>
    </w:p>
    <w:p>
      <w:pPr>
        <w:spacing w:after="160" w:line="300"/>
        <w:jc w:val="left"/>
      </w:pPr>
      <w:r>
        <w:rPr>
          <w:rFonts w:ascii="Calibri" w:cs="Calibri" w:eastAsia="Calibri" w:hAnsi="Calibri"/>
          <w:b w:val="false"/>
          <w:bCs w:val="false"/>
          <w:i w:val="false"/>
          <w:iCs w:val="false"/>
          <w:color w:val="1A1A1A"/>
          <w:sz w:val="21"/>
          <w:szCs w:val="21"/>
        </w:rPr>
        <w:t xml:space="preserve">Dit deel bevat twee inhoudelijk verschillende helften die elk hun eigen aandacht vragen: de eerste helft (data, resources, multi-instance) is verdieping van eerder behandelde notatie; de tweede helft (§14.6-14.7) is nieuw terrein waarin het ontwerp voor het eerst botst met een concrete technische beperking buiten de modelleur om. Bewaak dat de tweede helft niet wordt afgeraffeld — het legacy-compromis in opdracht 6 is een van de meest realistische consultantsituaties in heel niveau 2.</w:t>
      </w:r>
    </w:p>
    <w:p>
      <w:pPr>
        <w:pStyle w:val="Heading2"/>
        <w:pBdr>
          <w:bottom w:val="single" w:color="2563A8" w:sz="6" w:space="4"/>
        </w:pBdr>
        <w:spacing w:after="160" w:before="300"/>
      </w:pPr>
      <w:r>
        <w:rPr>
          <w:rFonts w:ascii="Calibri" w:cs="Calibri" w:eastAsia="Calibri" w:hAnsi="Calibri"/>
          <w:b/>
          <w:bCs/>
          <w:color w:val="2563A8"/>
          <w:sz w:val="24"/>
          <w:szCs w:val="24"/>
        </w:rPr>
        <w:t xml:space="preserve">Tijdschema (dagdeel van 4 uur)</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3000"/>
            <w:shd w:fill="14213D" w:color="auto" w:val="clear"/>
            <w:tcMar>
              <w:top w:type="dxa" w:w="100"/>
              <w:left w:type="dxa" w:w="120"/>
              <w:bottom w:type="dxa" w:w="100"/>
              <w:right w:type="dxa" w:w="120"/>
            </w:tcMar>
          </w:tcPr>
          <w:p>
            <w:r>
              <w:rPr>
                <w:rFonts w:ascii="Calibri" w:cs="Calibri" w:eastAsia="Calibri" w:hAnsi="Calibri"/>
                <w:b/>
                <w:bCs/>
                <w:color w:val="FFFFFF"/>
                <w:sz w:val="19"/>
                <w:szCs w:val="19"/>
              </w:rPr>
              <w:t xml:space="preserve">Tijd</w:t>
            </w:r>
          </w:p>
        </w:tc>
        <w:tc>
          <w:tcPr>
            <w:tcW w:type="dxa" w:w="3000"/>
            <w:shd w:fill="14213D" w:color="auto" w:val="clear"/>
            <w:tcMar>
              <w:top w:type="dxa" w:w="100"/>
              <w:left w:type="dxa" w:w="120"/>
              <w:bottom w:type="dxa" w:w="100"/>
              <w:right w:type="dxa" w:w="120"/>
            </w:tcMar>
          </w:tcPr>
          <w:p>
            <w:r>
              <w:rPr>
                <w:rFonts w:ascii="Calibri" w:cs="Calibri" w:eastAsia="Calibri" w:hAnsi="Calibri"/>
                <w:b/>
                <w:bCs/>
                <w:color w:val="FFFFFF"/>
                <w:sz w:val="19"/>
                <w:szCs w:val="19"/>
              </w:rPr>
              <w:t xml:space="preserve">Onderdeel</w:t>
            </w:r>
          </w:p>
        </w:tc>
        <w:tc>
          <w:tcPr>
            <w:tcW w:type="dxa" w:w="3000"/>
            <w:shd w:fill="14213D" w:color="auto" w:val="clear"/>
            <w:tcMar>
              <w:top w:type="dxa" w:w="100"/>
              <w:left w:type="dxa" w:w="120"/>
              <w:bottom w:type="dxa" w:w="100"/>
              <w:right w:type="dxa" w:w="120"/>
            </w:tcMar>
          </w:tcPr>
          <w:p>
            <w:r>
              <w:rPr>
                <w:rFonts w:ascii="Calibri" w:cs="Calibri" w:eastAsia="Calibri" w:hAnsi="Calibri"/>
                <w:b/>
                <w:bCs/>
                <w:color w:val="FFFFFF"/>
                <w:sz w:val="19"/>
                <w:szCs w:val="19"/>
              </w:rPr>
              <w:t xml:space="preserve">Werkvorm</w:t>
            </w:r>
          </w:p>
        </w:tc>
      </w:tr>
      <w:tr>
        <w:tc>
          <w:tcPr>
            <w:tcW w:type="dxa" w:w="3000"/>
            <w:shd w:fill="FFFFFF" w:color="auto" w:val="clear"/>
            <w:tcMar>
              <w:top w:type="dxa" w:w="90"/>
              <w:left w:type="dxa" w:w="120"/>
              <w:bottom w:type="dxa" w:w="90"/>
              <w:right w:type="dxa" w:w="120"/>
            </w:tcMar>
          </w:tcPr>
          <w:p>
            <w:r>
              <w:rPr>
                <w:rFonts w:ascii="Calibri" w:cs="Calibri" w:eastAsia="Calibri" w:hAnsi="Calibri"/>
                <w:color w:val="1A1A1A"/>
                <w:sz w:val="19"/>
                <w:szCs w:val="19"/>
              </w:rPr>
              <w:t xml:space="preserve">0:00 – 0:10</w:t>
            </w:r>
          </w:p>
        </w:tc>
        <w:tc>
          <w:tcPr>
            <w:tcW w:type="dxa" w:w="3000"/>
            <w:shd w:fill="FFFFFF" w:color="auto" w:val="clear"/>
            <w:tcMar>
              <w:top w:type="dxa" w:w="90"/>
              <w:left w:type="dxa" w:w="120"/>
              <w:bottom w:type="dxa" w:w="90"/>
              <w:right w:type="dxa" w:w="120"/>
            </w:tcMar>
          </w:tcPr>
          <w:p>
            <w:r>
              <w:rPr>
                <w:rFonts w:ascii="Calibri" w:cs="Calibri" w:eastAsia="Calibri" w:hAnsi="Calibri"/>
                <w:color w:val="1A1A1A"/>
                <w:sz w:val="19"/>
                <w:szCs w:val="19"/>
              </w:rPr>
              <w:t xml:space="preserve">Terugblik deel 13, programma</w:t>
            </w:r>
          </w:p>
        </w:tc>
        <w:tc>
          <w:tcPr>
            <w:tcW w:type="dxa" w:w="3000"/>
            <w:shd w:fill="FFFFFF" w:color="auto" w:val="clear"/>
            <w:tcMar>
              <w:top w:type="dxa" w:w="90"/>
              <w:left w:type="dxa" w:w="120"/>
              <w:bottom w:type="dxa" w:w="90"/>
              <w:right w:type="dxa" w:w="120"/>
            </w:tcMar>
          </w:tcPr>
          <w:p>
            <w:r>
              <w:rPr>
                <w:rFonts w:ascii="Calibri" w:cs="Calibri" w:eastAsia="Calibri" w:hAnsi="Calibri"/>
                <w:color w:val="1A1A1A"/>
                <w:sz w:val="19"/>
                <w:szCs w:val="19"/>
              </w:rPr>
              <w:t xml:space="preserve">Plenair</w:t>
            </w:r>
          </w:p>
        </w:tc>
      </w:tr>
      <w:tr>
        <w:tc>
          <w:tcPr>
            <w:tcW w:type="dxa" w:w="3000"/>
            <w:shd w:fill="EEF1F6" w:color="auto" w:val="clear"/>
            <w:tcMar>
              <w:top w:type="dxa" w:w="90"/>
              <w:left w:type="dxa" w:w="120"/>
              <w:bottom w:type="dxa" w:w="90"/>
              <w:right w:type="dxa" w:w="120"/>
            </w:tcMar>
          </w:tcPr>
          <w:p>
            <w:r>
              <w:rPr>
                <w:rFonts w:ascii="Calibri" w:cs="Calibri" w:eastAsia="Calibri" w:hAnsi="Calibri"/>
                <w:color w:val="1A1A1A"/>
                <w:sz w:val="19"/>
                <w:szCs w:val="19"/>
              </w:rPr>
              <w:t xml:space="preserve">0:10 – 0:30</w:t>
            </w:r>
          </w:p>
        </w:tc>
        <w:tc>
          <w:tcPr>
            <w:tcW w:type="dxa" w:w="3000"/>
            <w:shd w:fill="EEF1F6" w:color="auto" w:val="clear"/>
            <w:tcMar>
              <w:top w:type="dxa" w:w="90"/>
              <w:left w:type="dxa" w:w="120"/>
              <w:bottom w:type="dxa" w:w="90"/>
              <w:right w:type="dxa" w:w="120"/>
            </w:tcMar>
          </w:tcPr>
          <w:p>
            <w:r>
              <w:rPr>
                <w:rFonts w:ascii="Calibri" w:cs="Calibri" w:eastAsia="Calibri" w:hAnsi="Calibri"/>
                <w:color w:val="1A1A1A"/>
                <w:sz w:val="19"/>
                <w:szCs w:val="19"/>
              </w:rPr>
              <w:t xml:space="preserve">Data in BPMN volledig (§14.1)</w:t>
            </w:r>
          </w:p>
        </w:tc>
        <w:tc>
          <w:tcPr>
            <w:tcW w:type="dxa" w:w="3000"/>
            <w:shd w:fill="EEF1F6" w:color="auto" w:val="clear"/>
            <w:tcMar>
              <w:top w:type="dxa" w:w="90"/>
              <w:left w:type="dxa" w:w="120"/>
              <w:bottom w:type="dxa" w:w="90"/>
              <w:right w:type="dxa" w:w="120"/>
            </w:tcMar>
          </w:tcPr>
          <w:p>
            <w:r>
              <w:rPr>
                <w:rFonts w:ascii="Calibri" w:cs="Calibri" w:eastAsia="Calibri" w:hAnsi="Calibri"/>
                <w:color w:val="1A1A1A"/>
                <w:sz w:val="19"/>
                <w:szCs w:val="19"/>
              </w:rPr>
              <w:t xml:space="preserve">Presentatie, figuur 14.1</w:t>
            </w:r>
          </w:p>
        </w:tc>
      </w:tr>
      <w:tr>
        <w:tc>
          <w:tcPr>
            <w:tcW w:type="dxa" w:w="3000"/>
            <w:shd w:fill="FFFFFF" w:color="auto" w:val="clear"/>
            <w:tcMar>
              <w:top w:type="dxa" w:w="90"/>
              <w:left w:type="dxa" w:w="120"/>
              <w:bottom w:type="dxa" w:w="90"/>
              <w:right w:type="dxa" w:w="120"/>
            </w:tcMar>
          </w:tcPr>
          <w:p>
            <w:r>
              <w:rPr>
                <w:rFonts w:ascii="Calibri" w:cs="Calibri" w:eastAsia="Calibri" w:hAnsi="Calibri"/>
                <w:color w:val="1A1A1A"/>
                <w:sz w:val="19"/>
                <w:szCs w:val="19"/>
              </w:rPr>
              <w:t xml:space="preserve">0:30 – 1:00</w:t>
            </w:r>
          </w:p>
        </w:tc>
        <w:tc>
          <w:tcPr>
            <w:tcW w:type="dxa" w:w="3000"/>
            <w:shd w:fill="FFFFFF" w:color="auto" w:val="clear"/>
            <w:tcMar>
              <w:top w:type="dxa" w:w="90"/>
              <w:left w:type="dxa" w:w="120"/>
              <w:bottom w:type="dxa" w:w="90"/>
              <w:right w:type="dxa" w:w="120"/>
            </w:tcMar>
          </w:tcPr>
          <w:p>
            <w:r>
              <w:rPr>
                <w:rFonts w:ascii="Calibri" w:cs="Calibri" w:eastAsia="Calibri" w:hAnsi="Calibri"/>
                <w:color w:val="1A1A1A"/>
                <w:sz w:val="19"/>
                <w:szCs w:val="19"/>
              </w:rPr>
              <w:t xml:space="preserve">Opdracht 1</w:t>
            </w:r>
          </w:p>
        </w:tc>
        <w:tc>
          <w:tcPr>
            <w:tcW w:type="dxa" w:w="3000"/>
            <w:shd w:fill="FFFFFF" w:color="auto" w:val="clear"/>
            <w:tcMar>
              <w:top w:type="dxa" w:w="90"/>
              <w:left w:type="dxa" w:w="120"/>
              <w:bottom w:type="dxa" w:w="90"/>
              <w:right w:type="dxa" w:w="120"/>
            </w:tcMar>
          </w:tcPr>
          <w:p>
            <w:r>
              <w:rPr>
                <w:rFonts w:ascii="Calibri" w:cs="Calibri" w:eastAsia="Calibri" w:hAnsi="Calibri"/>
                <w:color w:val="1A1A1A"/>
                <w:sz w:val="19"/>
                <w:szCs w:val="19"/>
              </w:rPr>
              <w:t xml:space="preserve">Individueel in Conductus</w:t>
            </w:r>
          </w:p>
        </w:tc>
      </w:tr>
      <w:tr>
        <w:tc>
          <w:tcPr>
            <w:tcW w:type="dxa" w:w="3000"/>
            <w:shd w:fill="EEF1F6" w:color="auto" w:val="clear"/>
            <w:tcMar>
              <w:top w:type="dxa" w:w="90"/>
              <w:left w:type="dxa" w:w="120"/>
              <w:bottom w:type="dxa" w:w="90"/>
              <w:right w:type="dxa" w:w="120"/>
            </w:tcMar>
          </w:tcPr>
          <w:p>
            <w:r>
              <w:rPr>
                <w:rFonts w:ascii="Calibri" w:cs="Calibri" w:eastAsia="Calibri" w:hAnsi="Calibri"/>
                <w:color w:val="1A1A1A"/>
                <w:sz w:val="19"/>
                <w:szCs w:val="19"/>
              </w:rPr>
              <w:t xml:space="preserve">1:00 – 1:15</w:t>
            </w:r>
          </w:p>
        </w:tc>
        <w:tc>
          <w:tcPr>
            <w:tcW w:type="dxa" w:w="3000"/>
            <w:shd w:fill="EEF1F6" w:color="auto" w:val="clear"/>
            <w:tcMar>
              <w:top w:type="dxa" w:w="90"/>
              <w:left w:type="dxa" w:w="120"/>
              <w:bottom w:type="dxa" w:w="90"/>
              <w:right w:type="dxa" w:w="120"/>
            </w:tcMar>
          </w:tcPr>
          <w:p>
            <w:r>
              <w:rPr>
                <w:rFonts w:ascii="Calibri" w:cs="Calibri" w:eastAsia="Calibri" w:hAnsi="Calibri"/>
                <w:color w:val="1A1A1A"/>
                <w:sz w:val="19"/>
                <w:szCs w:val="19"/>
              </w:rPr>
              <w:t xml:space="preserve">Data state (§14.2) — opdracht 2</w:t>
            </w:r>
          </w:p>
        </w:tc>
        <w:tc>
          <w:tcPr>
            <w:tcW w:type="dxa" w:w="3000"/>
            <w:shd w:fill="EEF1F6" w:color="auto" w:val="clear"/>
            <w:tcMar>
              <w:top w:type="dxa" w:w="90"/>
              <w:left w:type="dxa" w:w="120"/>
              <w:bottom w:type="dxa" w:w="90"/>
              <w:right w:type="dxa" w:w="120"/>
            </w:tcMar>
          </w:tcPr>
          <w:p>
            <w:r>
              <w:rPr>
                <w:rFonts w:ascii="Calibri" w:cs="Calibri" w:eastAsia="Calibri" w:hAnsi="Calibri"/>
                <w:color w:val="1A1A1A"/>
                <w:sz w:val="19"/>
                <w:szCs w:val="19"/>
              </w:rPr>
              <w:t xml:space="preserve">Presentatie + individueel</w:t>
            </w:r>
          </w:p>
        </w:tc>
      </w:tr>
      <w:tr>
        <w:tc>
          <w:tcPr>
            <w:tcW w:type="dxa" w:w="3000"/>
            <w:shd w:fill="FFFFFF" w:color="auto" w:val="clear"/>
            <w:tcMar>
              <w:top w:type="dxa" w:w="90"/>
              <w:left w:type="dxa" w:w="120"/>
              <w:bottom w:type="dxa" w:w="90"/>
              <w:right w:type="dxa" w:w="120"/>
            </w:tcMar>
          </w:tcPr>
          <w:p>
            <w:r>
              <w:rPr>
                <w:rFonts w:ascii="Calibri" w:cs="Calibri" w:eastAsia="Calibri" w:hAnsi="Calibri"/>
                <w:color w:val="1A1A1A"/>
                <w:sz w:val="19"/>
                <w:szCs w:val="19"/>
              </w:rPr>
              <w:t xml:space="preserve">1:15 – 1:30</w:t>
            </w:r>
          </w:p>
        </w:tc>
        <w:tc>
          <w:tcPr>
            <w:tcW w:type="dxa" w:w="3000"/>
            <w:shd w:fill="FFFFFF" w:color="auto" w:val="clear"/>
            <w:tcMar>
              <w:top w:type="dxa" w:w="90"/>
              <w:left w:type="dxa" w:w="120"/>
              <w:bottom w:type="dxa" w:w="90"/>
              <w:right w:type="dxa" w:w="120"/>
            </w:tcMar>
          </w:tcPr>
          <w:p>
            <w:r>
              <w:rPr>
                <w:rFonts w:ascii="Calibri" w:cs="Calibri" w:eastAsia="Calibri" w:hAnsi="Calibri"/>
                <w:color w:val="1A1A1A"/>
                <w:sz w:val="19"/>
                <w:szCs w:val="19"/>
              </w:rPr>
              <w:t xml:space="preserve">Pauze</w:t>
            </w:r>
          </w:p>
        </w:tc>
        <w:tc>
          <w:tcPr>
            <w:tcW w:type="dxa" w:w="3000"/>
            <w:shd w:fill="FFFFFF" w:color="auto" w:val="clear"/>
            <w:tcMar>
              <w:top w:type="dxa" w:w="90"/>
              <w:left w:type="dxa" w:w="120"/>
              <w:bottom w:type="dxa" w:w="90"/>
              <w:right w:type="dxa" w:w="120"/>
            </w:tcMar>
          </w:tcPr>
          <w:p>
            <w:r>
              <w:rPr>
                <w:rFonts w:ascii="Calibri" w:cs="Calibri" w:eastAsia="Calibri" w:hAnsi="Calibri"/>
                <w:color w:val="1A1A1A"/>
                <w:sz w:val="19"/>
                <w:szCs w:val="19"/>
              </w:rPr>
              <w:t xml:space="preserve"/>
            </w:r>
          </w:p>
        </w:tc>
      </w:tr>
      <w:tr>
        <w:tc>
          <w:tcPr>
            <w:tcW w:type="dxa" w:w="3000"/>
            <w:shd w:fill="EEF1F6" w:color="auto" w:val="clear"/>
            <w:tcMar>
              <w:top w:type="dxa" w:w="90"/>
              <w:left w:type="dxa" w:w="120"/>
              <w:bottom w:type="dxa" w:w="90"/>
              <w:right w:type="dxa" w:w="120"/>
            </w:tcMar>
          </w:tcPr>
          <w:p>
            <w:r>
              <w:rPr>
                <w:rFonts w:ascii="Calibri" w:cs="Calibri" w:eastAsia="Calibri" w:hAnsi="Calibri"/>
                <w:color w:val="1A1A1A"/>
                <w:sz w:val="19"/>
                <w:szCs w:val="19"/>
              </w:rPr>
              <w:t xml:space="preserve">1:30 – 1:50</w:t>
            </w:r>
          </w:p>
        </w:tc>
        <w:tc>
          <w:tcPr>
            <w:tcW w:type="dxa" w:w="3000"/>
            <w:shd w:fill="EEF1F6" w:color="auto" w:val="clear"/>
            <w:tcMar>
              <w:top w:type="dxa" w:w="90"/>
              <w:left w:type="dxa" w:w="120"/>
              <w:bottom w:type="dxa" w:w="90"/>
              <w:right w:type="dxa" w:w="120"/>
            </w:tcMar>
          </w:tcPr>
          <w:p>
            <w:r>
              <w:rPr>
                <w:rFonts w:ascii="Calibri" w:cs="Calibri" w:eastAsia="Calibri" w:hAnsi="Calibri"/>
                <w:color w:val="1A1A1A"/>
                <w:sz w:val="19"/>
                <w:szCs w:val="19"/>
              </w:rPr>
              <w:t xml:space="preserve">Raakvlak met het informatiemodel (§14.3)</w:t>
            </w:r>
          </w:p>
        </w:tc>
        <w:tc>
          <w:tcPr>
            <w:tcW w:type="dxa" w:w="3000"/>
            <w:shd w:fill="EEF1F6" w:color="auto" w:val="clear"/>
            <w:tcMar>
              <w:top w:type="dxa" w:w="90"/>
              <w:left w:type="dxa" w:w="120"/>
              <w:bottom w:type="dxa" w:w="90"/>
              <w:right w:type="dxa" w:w="120"/>
            </w:tcMar>
          </w:tcPr>
          <w:p>
            <w:r>
              <w:rPr>
                <w:rFonts w:ascii="Calibri" w:cs="Calibri" w:eastAsia="Calibri" w:hAnsi="Calibri"/>
                <w:color w:val="1A1A1A"/>
                <w:sz w:val="19"/>
                <w:szCs w:val="19"/>
              </w:rPr>
              <w:t xml:space="preserve">Presentatie, het vier-definities-probleem herhaald</w:t>
            </w:r>
          </w:p>
        </w:tc>
      </w:tr>
      <w:tr>
        <w:tc>
          <w:tcPr>
            <w:tcW w:type="dxa" w:w="3000"/>
            <w:shd w:fill="FFFFFF" w:color="auto" w:val="clear"/>
            <w:tcMar>
              <w:top w:type="dxa" w:w="90"/>
              <w:left w:type="dxa" w:w="120"/>
              <w:bottom w:type="dxa" w:w="90"/>
              <w:right w:type="dxa" w:w="120"/>
            </w:tcMar>
          </w:tcPr>
          <w:p>
            <w:r>
              <w:rPr>
                <w:rFonts w:ascii="Calibri" w:cs="Calibri" w:eastAsia="Calibri" w:hAnsi="Calibri"/>
                <w:color w:val="1A1A1A"/>
                <w:sz w:val="19"/>
                <w:szCs w:val="19"/>
              </w:rPr>
              <w:t xml:space="preserve">1:50 – 2:15</w:t>
            </w:r>
          </w:p>
        </w:tc>
        <w:tc>
          <w:tcPr>
            <w:tcW w:type="dxa" w:w="3000"/>
            <w:shd w:fill="FFFFFF" w:color="auto" w:val="clear"/>
            <w:tcMar>
              <w:top w:type="dxa" w:w="90"/>
              <w:left w:type="dxa" w:w="120"/>
              <w:bottom w:type="dxa" w:w="90"/>
              <w:right w:type="dxa" w:w="120"/>
            </w:tcMar>
          </w:tcPr>
          <w:p>
            <w:r>
              <w:rPr>
                <w:rFonts w:ascii="Calibri" w:cs="Calibri" w:eastAsia="Calibri" w:hAnsi="Calibri"/>
                <w:color w:val="1A1A1A"/>
                <w:sz w:val="19"/>
                <w:szCs w:val="19"/>
              </w:rPr>
              <w:t xml:space="preserve">Opdracht 3</w:t>
            </w:r>
          </w:p>
        </w:tc>
        <w:tc>
          <w:tcPr>
            <w:tcW w:type="dxa" w:w="3000"/>
            <w:shd w:fill="FFFFFF" w:color="auto" w:val="clear"/>
            <w:tcMar>
              <w:top w:type="dxa" w:w="90"/>
              <w:left w:type="dxa" w:w="120"/>
              <w:bottom w:type="dxa" w:w="90"/>
              <w:right w:type="dxa" w:w="120"/>
            </w:tcMar>
          </w:tcPr>
          <w:p>
            <w:r>
              <w:rPr>
                <w:rFonts w:ascii="Calibri" w:cs="Calibri" w:eastAsia="Calibri" w:hAnsi="Calibri"/>
                <w:color w:val="1A1A1A"/>
                <w:sz w:val="19"/>
                <w:szCs w:val="19"/>
              </w:rPr>
              <w:t xml:space="preserve">Individueel</w:t>
            </w:r>
          </w:p>
        </w:tc>
      </w:tr>
      <w:tr>
        <w:tc>
          <w:tcPr>
            <w:tcW w:type="dxa" w:w="3000"/>
            <w:shd w:fill="EEF1F6" w:color="auto" w:val="clear"/>
            <w:tcMar>
              <w:top w:type="dxa" w:w="90"/>
              <w:left w:type="dxa" w:w="120"/>
              <w:bottom w:type="dxa" w:w="90"/>
              <w:right w:type="dxa" w:w="120"/>
            </w:tcMar>
          </w:tcPr>
          <w:p>
            <w:r>
              <w:rPr>
                <w:rFonts w:ascii="Calibri" w:cs="Calibri" w:eastAsia="Calibri" w:hAnsi="Calibri"/>
                <w:color w:val="1A1A1A"/>
                <w:sz w:val="19"/>
                <w:szCs w:val="19"/>
              </w:rPr>
              <w:t xml:space="preserve">2:15 – 2:35</w:t>
            </w:r>
          </w:p>
        </w:tc>
        <w:tc>
          <w:tcPr>
            <w:tcW w:type="dxa" w:w="3000"/>
            <w:shd w:fill="EEF1F6" w:color="auto" w:val="clear"/>
            <w:tcMar>
              <w:top w:type="dxa" w:w="90"/>
              <w:left w:type="dxa" w:w="120"/>
              <w:bottom w:type="dxa" w:w="90"/>
              <w:right w:type="dxa" w:w="120"/>
            </w:tcMar>
          </w:tcPr>
          <w:p>
            <w:r>
              <w:rPr>
                <w:rFonts w:ascii="Calibri" w:cs="Calibri" w:eastAsia="Calibri" w:hAnsi="Calibri"/>
                <w:color w:val="1A1A1A"/>
                <w:sz w:val="19"/>
                <w:szCs w:val="19"/>
              </w:rPr>
              <w:t xml:space="preserve">Resources en performers (§14.4)</w:t>
            </w:r>
          </w:p>
        </w:tc>
        <w:tc>
          <w:tcPr>
            <w:tcW w:type="dxa" w:w="3000"/>
            <w:shd w:fill="EEF1F6" w:color="auto" w:val="clear"/>
            <w:tcMar>
              <w:top w:type="dxa" w:w="90"/>
              <w:left w:type="dxa" w:w="120"/>
              <w:bottom w:type="dxa" w:w="90"/>
              <w:right w:type="dxa" w:w="120"/>
            </w:tcMar>
          </w:tcPr>
          <w:p>
            <w:r>
              <w:rPr>
                <w:rFonts w:ascii="Calibri" w:cs="Calibri" w:eastAsia="Calibri" w:hAnsi="Calibri"/>
                <w:color w:val="1A1A1A"/>
                <w:sz w:val="19"/>
                <w:szCs w:val="19"/>
              </w:rPr>
              <w:t xml:space="preserve">Presentatie</w:t>
            </w:r>
          </w:p>
        </w:tc>
      </w:tr>
      <w:tr>
        <w:tc>
          <w:tcPr>
            <w:tcW w:type="dxa" w:w="3000"/>
            <w:shd w:fill="FFFFFF" w:color="auto" w:val="clear"/>
            <w:tcMar>
              <w:top w:type="dxa" w:w="90"/>
              <w:left w:type="dxa" w:w="120"/>
              <w:bottom w:type="dxa" w:w="90"/>
              <w:right w:type="dxa" w:w="120"/>
            </w:tcMar>
          </w:tcPr>
          <w:p>
            <w:r>
              <w:rPr>
                <w:rFonts w:ascii="Calibri" w:cs="Calibri" w:eastAsia="Calibri" w:hAnsi="Calibri"/>
                <w:color w:val="1A1A1A"/>
                <w:sz w:val="19"/>
                <w:szCs w:val="19"/>
              </w:rPr>
              <w:t xml:space="preserve">2:35 – 2:50</w:t>
            </w:r>
          </w:p>
        </w:tc>
        <w:tc>
          <w:tcPr>
            <w:tcW w:type="dxa" w:w="3000"/>
            <w:shd w:fill="FFFFFF" w:color="auto" w:val="clear"/>
            <w:tcMar>
              <w:top w:type="dxa" w:w="90"/>
              <w:left w:type="dxa" w:w="120"/>
              <w:bottom w:type="dxa" w:w="90"/>
              <w:right w:type="dxa" w:w="120"/>
            </w:tcMar>
          </w:tcPr>
          <w:p>
            <w:r>
              <w:rPr>
                <w:rFonts w:ascii="Calibri" w:cs="Calibri" w:eastAsia="Calibri" w:hAnsi="Calibri"/>
                <w:color w:val="1A1A1A"/>
                <w:sz w:val="19"/>
                <w:szCs w:val="19"/>
              </w:rPr>
              <w:t xml:space="preserve">Pauze</w:t>
            </w:r>
          </w:p>
        </w:tc>
        <w:tc>
          <w:tcPr>
            <w:tcW w:type="dxa" w:w="3000"/>
            <w:shd w:fill="FFFFFF" w:color="auto" w:val="clear"/>
            <w:tcMar>
              <w:top w:type="dxa" w:w="90"/>
              <w:left w:type="dxa" w:w="120"/>
              <w:bottom w:type="dxa" w:w="90"/>
              <w:right w:type="dxa" w:w="120"/>
            </w:tcMar>
          </w:tcPr>
          <w:p>
            <w:r>
              <w:rPr>
                <w:rFonts w:ascii="Calibri" w:cs="Calibri" w:eastAsia="Calibri" w:hAnsi="Calibri"/>
                <w:color w:val="1A1A1A"/>
                <w:sz w:val="19"/>
                <w:szCs w:val="19"/>
              </w:rPr>
              <w:t xml:space="preserve"/>
            </w:r>
          </w:p>
        </w:tc>
      </w:tr>
      <w:tr>
        <w:tc>
          <w:tcPr>
            <w:tcW w:type="dxa" w:w="3000"/>
            <w:shd w:fill="EEF1F6" w:color="auto" w:val="clear"/>
            <w:tcMar>
              <w:top w:type="dxa" w:w="90"/>
              <w:left w:type="dxa" w:w="120"/>
              <w:bottom w:type="dxa" w:w="90"/>
              <w:right w:type="dxa" w:w="120"/>
            </w:tcMar>
          </w:tcPr>
          <w:p>
            <w:r>
              <w:rPr>
                <w:rFonts w:ascii="Calibri" w:cs="Calibri" w:eastAsia="Calibri" w:hAnsi="Calibri"/>
                <w:color w:val="1A1A1A"/>
                <w:sz w:val="19"/>
                <w:szCs w:val="19"/>
              </w:rPr>
              <w:t xml:space="preserve">2:50 – 3:10</w:t>
            </w:r>
          </w:p>
        </w:tc>
        <w:tc>
          <w:tcPr>
            <w:tcW w:type="dxa" w:w="3000"/>
            <w:shd w:fill="EEF1F6" w:color="auto" w:val="clear"/>
            <w:tcMar>
              <w:top w:type="dxa" w:w="90"/>
              <w:left w:type="dxa" w:w="120"/>
              <w:bottom w:type="dxa" w:w="90"/>
              <w:right w:type="dxa" w:w="120"/>
            </w:tcMar>
          </w:tcPr>
          <w:p>
            <w:r>
              <w:rPr>
                <w:rFonts w:ascii="Calibri" w:cs="Calibri" w:eastAsia="Calibri" w:hAnsi="Calibri"/>
                <w:color w:val="1A1A1A"/>
                <w:sz w:val="19"/>
                <w:szCs w:val="19"/>
              </w:rPr>
              <w:t xml:space="preserve">Multi-instance in detail (§14.5) — opdracht 4</w:t>
            </w:r>
          </w:p>
        </w:tc>
        <w:tc>
          <w:tcPr>
            <w:tcW w:type="dxa" w:w="3000"/>
            <w:shd w:fill="EEF1F6" w:color="auto" w:val="clear"/>
            <w:tcMar>
              <w:top w:type="dxa" w:w="90"/>
              <w:left w:type="dxa" w:w="120"/>
              <w:bottom w:type="dxa" w:w="90"/>
              <w:right w:type="dxa" w:w="120"/>
            </w:tcMar>
          </w:tcPr>
          <w:p>
            <w:r>
              <w:rPr>
                <w:rFonts w:ascii="Calibri" w:cs="Calibri" w:eastAsia="Calibri" w:hAnsi="Calibri"/>
                <w:color w:val="1A1A1A"/>
                <w:sz w:val="19"/>
                <w:szCs w:val="19"/>
              </w:rPr>
              <w:t xml:space="preserve">Presentatie + individueel</w:t>
            </w:r>
          </w:p>
        </w:tc>
      </w:tr>
      <w:tr>
        <w:tc>
          <w:tcPr>
            <w:tcW w:type="dxa" w:w="3000"/>
            <w:shd w:fill="FFFFFF" w:color="auto" w:val="clear"/>
            <w:tcMar>
              <w:top w:type="dxa" w:w="90"/>
              <w:left w:type="dxa" w:w="120"/>
              <w:bottom w:type="dxa" w:w="90"/>
              <w:right w:type="dxa" w:w="120"/>
            </w:tcMar>
          </w:tcPr>
          <w:p>
            <w:r>
              <w:rPr>
                <w:rFonts w:ascii="Calibri" w:cs="Calibri" w:eastAsia="Calibri" w:hAnsi="Calibri"/>
                <w:color w:val="1A1A1A"/>
                <w:sz w:val="19"/>
                <w:szCs w:val="19"/>
              </w:rPr>
              <w:t xml:space="preserve">3:10 – 3:35</w:t>
            </w:r>
          </w:p>
        </w:tc>
        <w:tc>
          <w:tcPr>
            <w:tcW w:type="dxa" w:w="3000"/>
            <w:shd w:fill="FFFFFF" w:color="auto" w:val="clear"/>
            <w:tcMar>
              <w:top w:type="dxa" w:w="90"/>
              <w:left w:type="dxa" w:w="120"/>
              <w:bottom w:type="dxa" w:w="90"/>
              <w:right w:type="dxa" w:w="120"/>
            </w:tcMar>
          </w:tcPr>
          <w:p>
            <w:r>
              <w:rPr>
                <w:rFonts w:ascii="Calibri" w:cs="Calibri" w:eastAsia="Calibri" w:hAnsi="Calibri"/>
                <w:color w:val="1A1A1A"/>
                <w:sz w:val="19"/>
                <w:szCs w:val="19"/>
              </w:rPr>
              <w:t xml:space="preserve">Mensproces vs. systeemorchestratie (§14.6) — opdracht 5</w:t>
            </w:r>
          </w:p>
        </w:tc>
        <w:tc>
          <w:tcPr>
            <w:tcW w:type="dxa" w:w="3000"/>
            <w:shd w:fill="FFFFFF" w:color="auto" w:val="clear"/>
            <w:tcMar>
              <w:top w:type="dxa" w:w="90"/>
              <w:left w:type="dxa" w:w="120"/>
              <w:bottom w:type="dxa" w:w="90"/>
              <w:right w:type="dxa" w:w="120"/>
            </w:tcMar>
          </w:tcPr>
          <w:p>
            <w:r>
              <w:rPr>
                <w:rFonts w:ascii="Calibri" w:cs="Calibri" w:eastAsia="Calibri" w:hAnsi="Calibri"/>
                <w:color w:val="1A1A1A"/>
                <w:sz w:val="19"/>
                <w:szCs w:val="19"/>
              </w:rPr>
              <w:t xml:space="preserve">Presentatie + tweetallen</w:t>
            </w:r>
          </w:p>
        </w:tc>
      </w:tr>
      <w:tr>
        <w:tc>
          <w:tcPr>
            <w:tcW w:type="dxa" w:w="3000"/>
            <w:shd w:fill="EEF1F6" w:color="auto" w:val="clear"/>
            <w:tcMar>
              <w:top w:type="dxa" w:w="90"/>
              <w:left w:type="dxa" w:w="120"/>
              <w:bottom w:type="dxa" w:w="90"/>
              <w:right w:type="dxa" w:w="120"/>
            </w:tcMar>
          </w:tcPr>
          <w:p>
            <w:r>
              <w:rPr>
                <w:rFonts w:ascii="Calibri" w:cs="Calibri" w:eastAsia="Calibri" w:hAnsi="Calibri"/>
                <w:color w:val="1A1A1A"/>
                <w:sz w:val="19"/>
                <w:szCs w:val="19"/>
              </w:rPr>
              <w:t xml:space="preserve">3:35 – 4:00</w:t>
            </w:r>
          </w:p>
        </w:tc>
        <w:tc>
          <w:tcPr>
            <w:tcW w:type="dxa" w:w="3000"/>
            <w:shd w:fill="EEF1F6" w:color="auto" w:val="clear"/>
            <w:tcMar>
              <w:top w:type="dxa" w:w="90"/>
              <w:left w:type="dxa" w:w="120"/>
              <w:bottom w:type="dxa" w:w="90"/>
              <w:right w:type="dxa" w:w="120"/>
            </w:tcMar>
          </w:tcPr>
          <w:p>
            <w:r>
              <w:rPr>
                <w:rFonts w:ascii="Calibri" w:cs="Calibri" w:eastAsia="Calibri" w:hAnsi="Calibri"/>
                <w:color w:val="1A1A1A"/>
                <w:sz w:val="19"/>
                <w:szCs w:val="19"/>
              </w:rPr>
              <w:t xml:space="preserve">Legacy als ontwerpbeperking (§14.7), opdracht 6 starten, vooruitblik</w:t>
            </w:r>
          </w:p>
        </w:tc>
        <w:tc>
          <w:tcPr>
            <w:tcW w:type="dxa" w:w="3000"/>
            <w:shd w:fill="EEF1F6" w:color="auto" w:val="clear"/>
            <w:tcMar>
              <w:top w:type="dxa" w:w="90"/>
              <w:left w:type="dxa" w:w="120"/>
              <w:bottom w:type="dxa" w:w="90"/>
              <w:right w:type="dxa" w:w="120"/>
            </w:tcMar>
          </w:tcPr>
          <w:p>
            <w:r>
              <w:rPr>
                <w:rFonts w:ascii="Calibri" w:cs="Calibri" w:eastAsia="Calibri" w:hAnsi="Calibri"/>
                <w:color w:val="1A1A1A"/>
                <w:sz w:val="19"/>
                <w:szCs w:val="19"/>
              </w:rPr>
              <w:t xml:space="preserve">Presentatie + start deliverable</w:t>
            </w:r>
          </w:p>
        </w:tc>
      </w:tr>
    </w:tbl>
    <w:p>
      <w:pPr>
        <w:spacing w:before="200"/>
      </w:pPr>
    </w:p>
    <w:p>
      <w:pPr>
        <w:spacing w:after="160" w:line="300"/>
        <w:jc w:val="left"/>
      </w:pPr>
      <w:r>
        <w:rPr>
          <w:rFonts w:ascii="Calibri" w:cs="Calibri" w:eastAsia="Calibri" w:hAnsi="Calibri"/>
          <w:b w:val="false"/>
          <w:bCs w:val="false"/>
          <w:i w:val="false"/>
          <w:iCs w:val="false"/>
          <w:color w:val="1A1A1A"/>
          <w:sz w:val="21"/>
          <w:szCs w:val="21"/>
        </w:rPr>
        <w:t xml:space="preserve">Opdracht 6 loopt door na het dagdeel. Geef bij de introductie van §14.7 nadrukkelijk de tijd om de technische notitie goed te lezen — deelnemers die de beperking niet volledig doorgronden, leveren een oppervlakkig compromis.</w:t>
      </w:r>
    </w:p>
    <w:p>
      <w:pPr>
        <w:pStyle w:val="Heading2"/>
        <w:pBdr>
          <w:bottom w:val="single" w:color="2563A8" w:sz="6" w:space="4"/>
        </w:pBdr>
        <w:spacing w:after="160" w:before="300"/>
      </w:pPr>
      <w:r>
        <w:rPr>
          <w:rFonts w:ascii="Calibri" w:cs="Calibri" w:eastAsia="Calibri" w:hAnsi="Calibri"/>
          <w:b/>
          <w:bCs/>
          <w:color w:val="2563A8"/>
          <w:sz w:val="24"/>
          <w:szCs w:val="24"/>
        </w:rPr>
        <w:t xml:space="preserve">Uitwerkingen</w:t>
      </w:r>
    </w:p>
    <w:p>
      <w:pPr>
        <w:pStyle w:val="Heading2"/>
        <w:pBdr>
          <w:bottom w:val="single" w:color="2563A8" w:sz="6" w:space="4"/>
        </w:pBdr>
        <w:spacing w:after="160" w:before="300"/>
      </w:pPr>
      <w:r>
        <w:rPr>
          <w:rFonts w:ascii="Calibri" w:cs="Calibri" w:eastAsia="Calibri" w:hAnsi="Calibri"/>
          <w:b/>
          <w:bCs/>
          <w:color w:val="2563A8"/>
          <w:sz w:val="24"/>
          <w:szCs w:val="24"/>
        </w:rPr>
        <w:t xml:space="preserve">Opdracht 1 — Data toevoegen</w:t>
      </w:r>
    </w:p>
    <w:p>
      <w:pPr>
        <w:spacing w:after="160" w:line="300"/>
        <w:jc w:val="left"/>
      </w:pPr>
      <w:r>
        <w:rPr>
          <w:rFonts w:ascii="Calibri" w:cs="Calibri" w:eastAsia="Calibri" w:hAnsi="Calibri"/>
          <w:b w:val="false"/>
          <w:bCs w:val="false"/>
          <w:i w:val="false"/>
          <w:iCs w:val="false"/>
          <w:color w:val="1A1A1A"/>
          <w:sz w:val="21"/>
          <w:szCs w:val="21"/>
        </w:rPr>
        <w:t xml:space="preserve">Geen uniek modelantwoord. Controleer of de transformatie-expressie functioneel is (niet alleen een pijl met het label "transformatie" zonder inhoud) en of de weggelaten data in de tekstannotatie inhoudelijk gemotiveerd is — "dit leek me te veel detail" is onvoldoende; een goed antwoord benoemt welk gebruiksdoel (niveau 1, deel 1, §1.4) bepaalt wat wel en niet nodig is.</w:t>
      </w:r>
    </w:p>
    <w:p>
      <w:pPr>
        <w:pStyle w:val="Heading2"/>
        <w:pBdr>
          <w:bottom w:val="single" w:color="2563A8" w:sz="6" w:space="4"/>
        </w:pBdr>
        <w:spacing w:after="160" w:before="300"/>
      </w:pPr>
      <w:r>
        <w:rPr>
          <w:rFonts w:ascii="Calibri" w:cs="Calibri" w:eastAsia="Calibri" w:hAnsi="Calibri"/>
          <w:b/>
          <w:bCs/>
          <w:color w:val="2563A8"/>
          <w:sz w:val="24"/>
          <w:szCs w:val="24"/>
        </w:rPr>
        <w:t xml:space="preserve">Opdracht 2 — Data state of niet</w:t>
      </w:r>
    </w:p>
    <w:p>
      <w:pPr>
        <w:spacing w:after="160" w:line="300"/>
        <w:jc w:val="left"/>
      </w:pPr>
      <w:r>
        <w:rPr>
          <w:rFonts w:ascii="Calibri" w:cs="Calibri" w:eastAsia="Calibri" w:hAnsi="Calibri"/>
          <w:b w:val="false"/>
          <w:bCs w:val="false"/>
          <w:i w:val="false"/>
          <w:iCs w:val="false"/>
          <w:color w:val="1A1A1A"/>
          <w:sz w:val="21"/>
          <w:szCs w:val="21"/>
        </w:rPr>
        <w:t xml:space="preserve">Verwacht bij correcte uitwerking: fragmenten waarin de state een echte transitie toont (bijvoorbeeld "Aanvraag [afgewezen]" na een expliciete beoordelingsstap) worden aangemerkt als verhelderend; fragmenten waarin de state een activiteit herhaalt worden aangemerkt als vervuilend. Laat deelnemers hun eigen vuistregel formuleren in plaats van een lijstje regels te geven.</w:t>
      </w:r>
    </w:p>
    <w:p>
      <w:pPr>
        <w:pStyle w:val="Heading2"/>
        <w:pBdr>
          <w:bottom w:val="single" w:color="2563A8" w:sz="6" w:space="4"/>
        </w:pBdr>
        <w:spacing w:after="160" w:before="300"/>
      </w:pPr>
      <w:r>
        <w:rPr>
          <w:rFonts w:ascii="Calibri" w:cs="Calibri" w:eastAsia="Calibri" w:hAnsi="Calibri"/>
          <w:b/>
          <w:bCs/>
          <w:color w:val="2563A8"/>
          <w:sz w:val="24"/>
          <w:szCs w:val="24"/>
        </w:rPr>
        <w:t xml:space="preserve">Opdracht 3 — Verwijzen naar het informatiemodel</w:t>
      </w:r>
    </w:p>
    <w:p>
      <w:pPr>
        <w:spacing w:after="160" w:line="300"/>
        <w:jc w:val="left"/>
      </w:pPr>
      <w:r>
        <w:rPr>
          <w:rFonts w:ascii="Calibri" w:cs="Calibri" w:eastAsia="Calibri" w:hAnsi="Calibri"/>
          <w:b w:val="false"/>
          <w:bCs w:val="false"/>
          <w:i w:val="false"/>
          <w:iCs w:val="false"/>
          <w:color w:val="1A1A1A"/>
          <w:sz w:val="21"/>
          <w:szCs w:val="21"/>
        </w:rPr>
        <w:t xml:space="preserve">Geen uniek antwoord. Verwachte definities voor "openstaande mutatie": (a) elke mutatie die nog niet is afgesloten, inclusief mutaties die wachten op een reactie van de deelnemer, en (b) alleen mutaties die intern actief in behandeling zijn. Een goed antwoord herkent dat (a) geschikt is voor SLA-bewaking richting de deelnemer, terwijl (b) geschikter is voor interne capaciteitssturing — en dat het gebruik van de verkeerde definitie voor het verkeerde doel tot een misleidend beeld leidt (bijvoorbeeld: een schijnbaar lage werkvoorraad die feitelijk alleen intern gemeten wordt, terwijl er buiten een grote wachtrij bij deelnemers ligt).</w:t>
      </w:r>
    </w:p>
    <w:p>
      <w:pPr>
        <w:spacing w:after="160" w:line="300"/>
        <w:jc w:val="left"/>
      </w:pPr>
      <w:r>
        <w:rPr>
          <w:rFonts w:ascii="Calibri" w:cs="Calibri" w:eastAsia="Calibri" w:hAnsi="Calibri"/>
          <w:b/>
          <w:bCs/>
          <w:i w:val="false"/>
          <w:iCs w:val="false"/>
          <w:color w:val="1A1A1A"/>
          <w:sz w:val="21"/>
          <w:szCs w:val="21"/>
        </w:rPr>
        <w:t xml:space="preserve">Bespreekpunt.</w:t>
      </w:r>
      <w:r>
        <w:rPr>
          <w:rFonts w:ascii="Calibri" w:cs="Calibri" w:eastAsia="Calibri" w:hAnsi="Calibri"/>
          <w:b w:val="false"/>
          <w:bCs w:val="false"/>
          <w:i w:val="false"/>
          <w:iCs w:val="false"/>
          <w:color w:val="1A1A1A"/>
          <w:sz w:val="21"/>
          <w:szCs w:val="21"/>
        </w:rPr>
        <w:t xml:space="preserve"> Dit is een directe toepassing van het vier-definities-probleem uit niveau 1 op een nieuw begrip. Vraag door: wie zou deze definitie moeten vaststellen, en past dat bij de rollen die in deel 11 (modelleerrichtlijn) al zijn benoemd?</w:t>
      </w:r>
    </w:p>
    <w:p>
      <w:pPr>
        <w:pStyle w:val="Heading2"/>
        <w:pBdr>
          <w:bottom w:val="single" w:color="2563A8" w:sz="6" w:space="4"/>
        </w:pBdr>
        <w:spacing w:after="160" w:before="300"/>
      </w:pPr>
      <w:r>
        <w:rPr>
          <w:rFonts w:ascii="Calibri" w:cs="Calibri" w:eastAsia="Calibri" w:hAnsi="Calibri"/>
          <w:b/>
          <w:bCs/>
          <w:color w:val="2563A8"/>
          <w:sz w:val="24"/>
          <w:szCs w:val="24"/>
        </w:rPr>
        <w:t xml:space="preserve">Opdracht 4 — Multi-instance ontwerpen</w:t>
      </w:r>
    </w:p>
    <w:p>
      <w:pPr>
        <w:spacing w:after="160" w:line="300"/>
        <w:jc w:val="left"/>
      </w:pPr>
      <w:r>
        <w:rPr>
          <w:rFonts w:ascii="Calibri" w:cs="Calibri" w:eastAsia="Calibri" w:hAnsi="Calibri"/>
          <w:b w:val="false"/>
          <w:bCs w:val="false"/>
          <w:i w:val="false"/>
          <w:iCs w:val="false"/>
          <w:color w:val="1A1A1A"/>
          <w:sz w:val="21"/>
          <w:szCs w:val="21"/>
        </w:rPr>
        <w:t xml:space="preserve">Verwacht: cardinaliteit vast op 5 (het aantal comitéleden), completion condition als expressie die telt hoeveel instanties een positief resultaat hebben opgeleverd en stopt bij drie. Input per instantie: het dossier plus de identiteit van het comitélid; output: het individuele oordeel. Een goed antwoord benoemt expliciet dat de resterende twee instanties, als de completion condition al vervuld is, niet meer worden afgewacht — en bespreekt kort of dat wenselijk is (worden hun oordelen alsnog vastgelegd voor de administratie, ook al tellen ze niet meer mee voor de beslissing?).</w:t>
      </w:r>
    </w:p>
    <w:p>
      <w:pPr>
        <w:pStyle w:val="Heading2"/>
        <w:pBdr>
          <w:bottom w:val="single" w:color="2563A8" w:sz="6" w:space="4"/>
        </w:pBdr>
        <w:spacing w:after="160" w:before="300"/>
      </w:pPr>
      <w:r>
        <w:rPr>
          <w:rFonts w:ascii="Calibri" w:cs="Calibri" w:eastAsia="Calibri" w:hAnsi="Calibri"/>
          <w:b/>
          <w:bCs/>
          <w:color w:val="2563A8"/>
          <w:sz w:val="24"/>
          <w:szCs w:val="24"/>
        </w:rPr>
        <w:t xml:space="preserve">Opdracht 5 — Twee stijlen</w:t>
      </w:r>
    </w:p>
    <w:p>
      <w:pPr>
        <w:spacing w:after="160" w:line="300"/>
        <w:jc w:val="left"/>
      </w:pPr>
      <w:r>
        <w:rPr>
          <w:rFonts w:ascii="Calibri" w:cs="Calibri" w:eastAsia="Calibri" w:hAnsi="Calibri"/>
          <w:b w:val="false"/>
          <w:bCs w:val="false"/>
          <w:i w:val="false"/>
          <w:iCs w:val="false"/>
          <w:color w:val="1A1A1A"/>
          <w:sz w:val="21"/>
          <w:szCs w:val="21"/>
        </w:rPr>
        <w:t xml:space="preserve">Verwachte verschillen: granulariteit (mensproces: één activiteit "Volledigheid controleren"; systeemorchestratie: aparte service tasks per veldvalidatie), foutafhandeling (mensproces: een enkel uitzonderingspad met menselijke beoordeling; systeemorchestratie: een expliciet pad per mogelijke foutcode), naamgeving (mensproces: taakgericht en beknopt; systeemorchestratie: technisch precies), en zichtbaarheid van technische details (mensproces: verborgen; systeemorchestratie: expliciet in het model).</w:t>
      </w:r>
    </w:p>
    <w:p>
      <w:pPr>
        <w:pStyle w:val="Heading2"/>
        <w:pBdr>
          <w:bottom w:val="single" w:color="2563A8" w:sz="6" w:space="4"/>
        </w:pBdr>
        <w:spacing w:after="160" w:before="300"/>
      </w:pPr>
      <w:r>
        <w:rPr>
          <w:rFonts w:ascii="Calibri" w:cs="Calibri" w:eastAsia="Calibri" w:hAnsi="Calibri"/>
          <w:b/>
          <w:bCs/>
          <w:color w:val="2563A8"/>
          <w:sz w:val="24"/>
          <w:szCs w:val="24"/>
        </w:rPr>
        <w:t xml:space="preserve">Opdracht 6 — Legacy-compromis</w:t>
      </w:r>
    </w:p>
    <w:p>
      <w:pPr>
        <w:spacing w:after="160" w:line="300"/>
        <w:jc w:val="left"/>
      </w:pPr>
      <w:r>
        <w:rPr>
          <w:rFonts w:ascii="Calibri" w:cs="Calibri" w:eastAsia="Calibri" w:hAnsi="Calibri"/>
          <w:b w:val="false"/>
          <w:bCs w:val="false"/>
          <w:i w:val="false"/>
          <w:iCs w:val="false"/>
          <w:color w:val="1A1A1A"/>
          <w:sz w:val="21"/>
          <w:szCs w:val="21"/>
        </w:rPr>
        <w:t xml:space="preserve">Geen uniek modelantwoord. Kernpunt van beoordeling: is het compromis </w:t>
      </w:r>
      <w:r>
        <w:rPr>
          <w:rFonts w:ascii="Calibri" w:cs="Calibri" w:eastAsia="Calibri" w:hAnsi="Calibri"/>
          <w:b/>
          <w:bCs/>
          <w:i w:val="false"/>
          <w:iCs w:val="false"/>
          <w:color w:val="1A1A1A"/>
          <w:sz w:val="21"/>
          <w:szCs w:val="21"/>
        </w:rPr>
        <w:t xml:space="preserve">specifiek</w:t>
      </w:r>
      <w:r>
        <w:rPr>
          <w:rFonts w:ascii="Calibri" w:cs="Calibri" w:eastAsia="Calibri" w:hAnsi="Calibri"/>
          <w:b w:val="false"/>
          <w:bCs w:val="false"/>
          <w:i w:val="false"/>
          <w:iCs w:val="false"/>
          <w:color w:val="1A1A1A"/>
          <w:sz w:val="21"/>
          <w:szCs w:val="21"/>
        </w:rPr>
        <w:t xml:space="preserve"> voor déze beperking (een wachtstap met een timer die de batch-cyclus weerspiegelt, eventueel met een voorlopige in plaats van definitieve bevestiging aan de deelnemer) in plaats van een generieke "we voegen een wachttijd toe"? En is de doorlooptijdimpact daadwerkelijk herleid naar de knelpuntanalyse uit deel 12, niet losstaand herberekend?</w:t>
      </w:r>
    </w:p>
    <w:p>
      <w:pPr>
        <w:spacing w:after="160" w:line="300"/>
        <w:jc w:val="left"/>
      </w:pPr>
      <w:r>
        <w:rPr>
          <w:rFonts w:ascii="Calibri" w:cs="Calibri" w:eastAsia="Calibri" w:hAnsi="Calibri"/>
          <w:b/>
          <w:bCs/>
          <w:i w:val="false"/>
          <w:iCs w:val="false"/>
          <w:color w:val="1A1A1A"/>
          <w:sz w:val="21"/>
          <w:szCs w:val="21"/>
        </w:rPr>
        <w:t xml:space="preserve">Veelgemaakte fout.</w:t>
      </w:r>
      <w:r>
        <w:rPr>
          <w:rFonts w:ascii="Calibri" w:cs="Calibri" w:eastAsia="Calibri" w:hAnsi="Calibri"/>
          <w:b w:val="false"/>
          <w:bCs w:val="false"/>
          <w:i w:val="false"/>
          <w:iCs w:val="false"/>
          <w:color w:val="1A1A1A"/>
          <w:sz w:val="21"/>
          <w:szCs w:val="21"/>
        </w:rPr>
        <w:t xml:space="preserve"> Deelnemers modelleren de batch-vertraging soms als simpelweg een langere timer, zonder na te denken over de communicatie naar de deelnemer (die anders "voorlopig" bericht krijgt waar hij "definitief" verwachtte) — dit is precies het soort gat dat de verantwoording in stap 4 moet dichten.</w:t>
      </w:r>
    </w:p>
    <w:p>
      <w:pPr>
        <w:spacing w:after="160" w:line="300"/>
        <w:jc w:val="left"/>
      </w:pPr>
      <w:r>
        <w:rPr>
          <w:rFonts w:ascii="Calibri" w:cs="Calibri" w:eastAsia="Calibri" w:hAnsi="Calibri"/>
          <w:b/>
          <w:bCs/>
          <w:i w:val="false"/>
          <w:iCs w:val="false"/>
          <w:color w:val="1A1A1A"/>
          <w:sz w:val="21"/>
          <w:szCs w:val="21"/>
        </w:rPr>
        <w:t xml:space="preserve">Signaal om te herkennen.</w:t>
      </w:r>
      <w:r>
        <w:rPr>
          <w:rFonts w:ascii="Calibri" w:cs="Calibri" w:eastAsia="Calibri" w:hAnsi="Calibri"/>
          <w:b w:val="false"/>
          <w:bCs w:val="false"/>
          <w:i w:val="false"/>
          <w:iCs w:val="false"/>
          <w:color w:val="1A1A1A"/>
          <w:sz w:val="21"/>
          <w:szCs w:val="21"/>
        </w:rPr>
        <w:t xml:space="preserve"> Een deelnemer die concludeert "dit compromis is niet acceptabel, we moeten het koppelvlak vervangen" is niet fout — dat kan een verdedigbare conclusie zijn, mits onderbouwd met de kosten-batenafweging die zo'n advies vereist. Beoordeel de kwaliteit van het argument, niet of het compromis geaccepteerd wordt.</w:t>
      </w:r>
    </w:p>
    <w:p>
      <w:pPr>
        <w:pStyle w:val="Heading2"/>
        <w:pBdr>
          <w:bottom w:val="single" w:color="2563A8" w:sz="6" w:space="4"/>
        </w:pBdr>
        <w:spacing w:after="160" w:before="300"/>
      </w:pPr>
      <w:r>
        <w:rPr>
          <w:rFonts w:ascii="Calibri" w:cs="Calibri" w:eastAsia="Calibri" w:hAnsi="Calibri"/>
          <w:b/>
          <w:bCs/>
          <w:color w:val="2563A8"/>
          <w:sz w:val="24"/>
          <w:szCs w:val="24"/>
        </w:rPr>
        <w:t xml:space="preserve">Opdracht 7 — Stellingen</w:t>
      </w:r>
    </w:p>
    <w:p>
      <w:pPr>
        <w:pStyle w:val="ListParagraph"/>
        <w:numPr>
          <w:ilvl w:val="0"/>
          <w:numId w:val="1"/>
        </w:numPr>
        <w:spacing w:after="100" w:line="290"/>
      </w:pPr>
      <w:r>
        <w:rPr>
          <w:rFonts w:ascii="Calibri" w:cs="Calibri" w:eastAsia="Calibri" w:hAnsi="Calibri"/>
          <w:b w:val="false"/>
          <w:bCs w:val="false"/>
          <w:i w:val="false"/>
          <w:iCs w:val="false"/>
          <w:color w:val="1A1A1A"/>
          <w:sz w:val="21"/>
          <w:szCs w:val="21"/>
        </w:rPr>
        <w:t xml:space="preserve">Prikkelend, en grotendeels waar in de praktijk — een goede aanleiding om §14.2 te herhalen: de uitzondering (een echte transitie) is zeldzamer dan deelnemers aanvankelijk denken.</w:t>
      </w:r>
    </w:p>
    <w:p>
      <w:pPr>
        <w:pStyle w:val="ListParagraph"/>
        <w:numPr>
          <w:ilvl w:val="0"/>
          <w:numId w:val="1"/>
        </w:numPr>
        <w:spacing w:after="100" w:line="290"/>
      </w:pPr>
      <w:r>
        <w:rPr>
          <w:rFonts w:ascii="Calibri" w:cs="Calibri" w:eastAsia="Calibri" w:hAnsi="Calibri"/>
          <w:b w:val="false"/>
          <w:bCs w:val="false"/>
          <w:i w:val="false"/>
          <w:iCs w:val="false"/>
          <w:color w:val="1A1A1A"/>
          <w:sz w:val="21"/>
          <w:szCs w:val="21"/>
        </w:rPr>
        <w:t xml:space="preserve">Sterk verdedigbaar in theorie, met een praktisch tegenargument: veel organisaties (waaronder, impliciet, delen van Meridiaan) hebben dat niet, en moeten dan met de modelleerrichtlijn als tussenoplossing werken — precies wat opdracht 3 laat zien.</w:t>
      </w:r>
    </w:p>
    <w:p>
      <w:pPr>
        <w:pStyle w:val="ListParagraph"/>
        <w:numPr>
          <w:ilvl w:val="0"/>
          <w:numId w:val="1"/>
        </w:numPr>
        <w:spacing w:after="100" w:line="290"/>
      </w:pPr>
      <w:r>
        <w:rPr>
          <w:rFonts w:ascii="Calibri" w:cs="Calibri" w:eastAsia="Calibri" w:hAnsi="Calibri"/>
          <w:b w:val="false"/>
          <w:bCs w:val="false"/>
          <w:i w:val="false"/>
          <w:iCs w:val="false"/>
          <w:color w:val="1A1A1A"/>
          <w:sz w:val="21"/>
          <w:szCs w:val="21"/>
        </w:rPr>
        <w:t xml:space="preserve">Verdedigbaar, met een tegenargument: het autorisatiemodel implementeert de scheiding, maar het procesmodel moet hem tonen, anders is er geen traceerbaarheid tussen ontwerp en implementatie (zie §14.4).</w:t>
      </w:r>
    </w:p>
    <w:p>
      <w:pPr>
        <w:pStyle w:val="ListParagraph"/>
        <w:numPr>
          <w:ilvl w:val="0"/>
          <w:numId w:val="1"/>
        </w:numPr>
        <w:spacing w:after="100" w:line="290"/>
      </w:pPr>
      <w:r>
        <w:rPr>
          <w:rFonts w:ascii="Calibri" w:cs="Calibri" w:eastAsia="Calibri" w:hAnsi="Calibri"/>
          <w:b w:val="false"/>
          <w:bCs w:val="false"/>
          <w:i w:val="false"/>
          <w:iCs w:val="false"/>
          <w:color w:val="1A1A1A"/>
          <w:sz w:val="21"/>
          <w:szCs w:val="21"/>
        </w:rPr>
        <w:t xml:space="preserve">Bewust eenzijdig: in theorie waar, in de praktijk (zoals opdracht 6 laat zien) moet een procesontwerp vaak wél reageren op een architectuurbeperking die op korte termijn niet op te lossen is. Laat deelnemers het spanningsveld tussen "juiste oplossing" en "haalbare oplossing binnen de programmatermijn" benoemen.</w:t>
      </w:r>
    </w:p>
    <w:p>
      <w:pPr>
        <w:pStyle w:val="Heading2"/>
        <w:pBdr>
          <w:bottom w:val="single" w:color="2563A8" w:sz="6" w:space="4"/>
        </w:pBdr>
        <w:spacing w:after="160" w:before="300"/>
      </w:pPr>
      <w:r>
        <w:rPr>
          <w:rFonts w:ascii="Calibri" w:cs="Calibri" w:eastAsia="Calibri" w:hAnsi="Calibri"/>
          <w:b/>
          <w:bCs/>
          <w:color w:val="2563A8"/>
          <w:sz w:val="24"/>
          <w:szCs w:val="24"/>
        </w:rPr>
        <w:t xml:space="preserve">Veelgemaakte fouten in dit deel</w:t>
      </w:r>
    </w:p>
    <w:p>
      <w:pPr>
        <w:pStyle w:val="ListParagraph"/>
        <w:numPr>
          <w:ilvl w:val="0"/>
          <w:numId w:val="1"/>
        </w:numPr>
        <w:spacing w:after="100" w:line="290"/>
      </w:pPr>
      <w:r>
        <w:rPr>
          <w:rFonts w:ascii="Calibri" w:cs="Calibri" w:eastAsia="Calibri" w:hAnsi="Calibri"/>
          <w:b/>
          <w:bCs/>
          <w:i w:val="false"/>
          <w:iCs w:val="false"/>
          <w:color w:val="1A1A1A"/>
          <w:sz w:val="21"/>
          <w:szCs w:val="21"/>
        </w:rPr>
        <w:t xml:space="preserve">Data toevoegen zonder gebruiksdoel te overwegen</w:t>
      </w:r>
      <w:r>
        <w:rPr>
          <w:rFonts w:ascii="Calibri" w:cs="Calibri" w:eastAsia="Calibri" w:hAnsi="Calibri"/>
          <w:b w:val="false"/>
          <w:bCs w:val="false"/>
          <w:i w:val="false"/>
          <w:iCs w:val="false"/>
          <w:color w:val="1A1A1A"/>
          <w:sz w:val="21"/>
          <w:szCs w:val="21"/>
        </w:rPr>
        <w:t xml:space="preserve"> — elk denkbaar veld tonen in plaats van een bewuste keuze te maken (zie opdracht 1).</w:t>
      </w:r>
    </w:p>
    <w:p>
      <w:pPr>
        <w:pStyle w:val="ListParagraph"/>
        <w:numPr>
          <w:ilvl w:val="0"/>
          <w:numId w:val="1"/>
        </w:numPr>
        <w:spacing w:after="100" w:line="290"/>
      </w:pPr>
      <w:r>
        <w:rPr>
          <w:rFonts w:ascii="Calibri" w:cs="Calibri" w:eastAsia="Calibri" w:hAnsi="Calibri"/>
          <w:b/>
          <w:bCs/>
          <w:i w:val="false"/>
          <w:iCs w:val="false"/>
          <w:color w:val="1A1A1A"/>
          <w:sz w:val="21"/>
          <w:szCs w:val="21"/>
        </w:rPr>
        <w:t xml:space="preserve">Het vier-definities-probleem niet herkennen in een nieuw begrip</w:t>
      </w:r>
      <w:r>
        <w:rPr>
          <w:rFonts w:ascii="Calibri" w:cs="Calibri" w:eastAsia="Calibri" w:hAnsi="Calibri"/>
          <w:b w:val="false"/>
          <w:bCs w:val="false"/>
          <w:i w:val="false"/>
          <w:iCs w:val="false"/>
          <w:color w:val="1A1A1A"/>
          <w:sz w:val="21"/>
          <w:szCs w:val="21"/>
        </w:rPr>
        <w:t xml:space="preserve"> — deelnemers die niveau 1 goed onthouden hebben, herkennen het patroon soms niet automatisch bij "openstaande mutatie" omdat het een ander woord is. Wijs expliciet op de parallel.</w:t>
      </w:r>
    </w:p>
    <w:p>
      <w:pPr>
        <w:pStyle w:val="ListParagraph"/>
        <w:numPr>
          <w:ilvl w:val="0"/>
          <w:numId w:val="1"/>
        </w:numPr>
        <w:spacing w:after="100" w:line="290"/>
      </w:pPr>
      <w:r>
        <w:rPr>
          <w:rFonts w:ascii="Calibri" w:cs="Calibri" w:eastAsia="Calibri" w:hAnsi="Calibri"/>
          <w:b/>
          <w:bCs/>
          <w:i w:val="false"/>
          <w:iCs w:val="false"/>
          <w:color w:val="1A1A1A"/>
          <w:sz w:val="21"/>
          <w:szCs w:val="21"/>
        </w:rPr>
        <w:t xml:space="preserve">Multi-instance met een te simpele completion condition</w:t>
      </w:r>
      <w:r>
        <w:rPr>
          <w:rFonts w:ascii="Calibri" w:cs="Calibri" w:eastAsia="Calibri" w:hAnsi="Calibri"/>
          <w:b w:val="false"/>
          <w:bCs w:val="false"/>
          <w:i w:val="false"/>
          <w:iCs w:val="false"/>
          <w:color w:val="1A1A1A"/>
          <w:sz w:val="21"/>
          <w:szCs w:val="21"/>
        </w:rPr>
        <w:t xml:space="preserve"> ("alle instanties") zonder de vraag te stellen of dat hier klopt.</w:t>
      </w:r>
    </w:p>
    <w:p>
      <w:pPr>
        <w:pStyle w:val="ListParagraph"/>
        <w:numPr>
          <w:ilvl w:val="0"/>
          <w:numId w:val="1"/>
        </w:numPr>
        <w:spacing w:after="100" w:line="290"/>
      </w:pPr>
      <w:r>
        <w:rPr>
          <w:rFonts w:ascii="Calibri" w:cs="Calibri" w:eastAsia="Calibri" w:hAnsi="Calibri"/>
          <w:b/>
          <w:bCs/>
          <w:i w:val="false"/>
          <w:iCs w:val="false"/>
          <w:color w:val="1A1A1A"/>
          <w:sz w:val="21"/>
          <w:szCs w:val="21"/>
        </w:rPr>
        <w:t xml:space="preserve">Het legacy-compromis te generiek oplossen</w:t>
      </w:r>
      <w:r>
        <w:rPr>
          <w:rFonts w:ascii="Calibri" w:cs="Calibri" w:eastAsia="Calibri" w:hAnsi="Calibri"/>
          <w:b w:val="false"/>
          <w:bCs w:val="false"/>
          <w:i w:val="false"/>
          <w:iCs w:val="false"/>
          <w:color w:val="1A1A1A"/>
          <w:sz w:val="21"/>
          <w:szCs w:val="21"/>
        </w:rPr>
        <w:t xml:space="preserve"> in plaats van specifiek voor de gegeven beperking — het belangrijkste beoordelingscriterium van opdracht 6.</w:t>
      </w:r>
    </w:p>
    <w:p>
      <w:pPr>
        <w:pStyle w:val="Heading2"/>
        <w:pBdr>
          <w:bottom w:val="single" w:color="2563A8" w:sz="6" w:space="4"/>
        </w:pBdr>
        <w:spacing w:after="160" w:before="300"/>
      </w:pPr>
      <w:r>
        <w:rPr>
          <w:rFonts w:ascii="Calibri" w:cs="Calibri" w:eastAsia="Calibri" w:hAnsi="Calibri"/>
          <w:b/>
          <w:bCs/>
          <w:color w:val="2563A8"/>
          <w:sz w:val="24"/>
          <w:szCs w:val="24"/>
        </w:rPr>
        <w:t xml:space="preserve">Beoordelingsrubric</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2250"/>
        <w:gridCol w:w="2250"/>
        <w:gridCol w:w="2250"/>
        <w:gridCol w:w="2250"/>
      </w:tblGrid>
      <w:tr>
        <w:tc>
          <w:tcPr>
            <w:tcW w:type="dxa" w:w="2250"/>
            <w:shd w:fill="14213D" w:color="auto" w:val="clear"/>
            <w:tcMar>
              <w:top w:type="dxa" w:w="100"/>
              <w:left w:type="dxa" w:w="120"/>
              <w:bottom w:type="dxa" w:w="100"/>
              <w:right w:type="dxa" w:w="120"/>
            </w:tcMar>
          </w:tcPr>
          <w:p>
            <w:r>
              <w:rPr>
                <w:rFonts w:ascii="Calibri" w:cs="Calibri" w:eastAsia="Calibri" w:hAnsi="Calibri"/>
                <w:b/>
                <w:bCs/>
                <w:color w:val="FFFFFF"/>
                <w:sz w:val="19"/>
                <w:szCs w:val="19"/>
              </w:rPr>
              <w:t xml:space="preserve">Criterium</w:t>
            </w:r>
          </w:p>
        </w:tc>
        <w:tc>
          <w:tcPr>
            <w:tcW w:type="dxa" w:w="2250"/>
            <w:shd w:fill="14213D" w:color="auto" w:val="clear"/>
            <w:tcMar>
              <w:top w:type="dxa" w:w="100"/>
              <w:left w:type="dxa" w:w="120"/>
              <w:bottom w:type="dxa" w:w="100"/>
              <w:right w:type="dxa" w:w="120"/>
            </w:tcMar>
          </w:tcPr>
          <w:p>
            <w:r>
              <w:rPr>
                <w:rFonts w:ascii="Calibri" w:cs="Calibri" w:eastAsia="Calibri" w:hAnsi="Calibri"/>
                <w:b/>
                <w:bCs/>
                <w:color w:val="FFFFFF"/>
                <w:sz w:val="19"/>
                <w:szCs w:val="19"/>
              </w:rPr>
              <w:t xml:space="preserve">Onvoldoende</w:t>
            </w:r>
          </w:p>
        </w:tc>
        <w:tc>
          <w:tcPr>
            <w:tcW w:type="dxa" w:w="2250"/>
            <w:shd w:fill="14213D" w:color="auto" w:val="clear"/>
            <w:tcMar>
              <w:top w:type="dxa" w:w="100"/>
              <w:left w:type="dxa" w:w="120"/>
              <w:bottom w:type="dxa" w:w="100"/>
              <w:right w:type="dxa" w:w="120"/>
            </w:tcMar>
          </w:tcPr>
          <w:p>
            <w:r>
              <w:rPr>
                <w:rFonts w:ascii="Calibri" w:cs="Calibri" w:eastAsia="Calibri" w:hAnsi="Calibri"/>
                <w:b/>
                <w:bCs/>
                <w:color w:val="FFFFFF"/>
                <w:sz w:val="19"/>
                <w:szCs w:val="19"/>
              </w:rPr>
              <w:t xml:space="preserve">Voldoende</w:t>
            </w:r>
          </w:p>
        </w:tc>
        <w:tc>
          <w:tcPr>
            <w:tcW w:type="dxa" w:w="2250"/>
            <w:shd w:fill="14213D" w:color="auto" w:val="clear"/>
            <w:tcMar>
              <w:top w:type="dxa" w:w="100"/>
              <w:left w:type="dxa" w:w="120"/>
              <w:bottom w:type="dxa" w:w="100"/>
              <w:right w:type="dxa" w:w="120"/>
            </w:tcMar>
          </w:tcPr>
          <w:p>
            <w:r>
              <w:rPr>
                <w:rFonts w:ascii="Calibri" w:cs="Calibri" w:eastAsia="Calibri" w:hAnsi="Calibri"/>
                <w:b/>
                <w:bCs/>
                <w:color w:val="FFFFFF"/>
                <w:sz w:val="19"/>
                <w:szCs w:val="19"/>
              </w:rPr>
              <w:t xml:space="preserve">Goed</w:t>
            </w:r>
          </w:p>
        </w:tc>
      </w:tr>
      <w:tr>
        <w:tc>
          <w:tcPr>
            <w:tcW w:type="dxa" w:w="2250"/>
            <w:shd w:fill="FFFFFF" w:color="auto" w:val="clear"/>
            <w:tcMar>
              <w:top w:type="dxa" w:w="90"/>
              <w:left w:type="dxa" w:w="120"/>
              <w:bottom w:type="dxa" w:w="90"/>
              <w:right w:type="dxa" w:w="120"/>
            </w:tcMar>
          </w:tcPr>
          <w:p>
            <w:r>
              <w:rPr>
                <w:rFonts w:ascii="Calibri" w:cs="Calibri" w:eastAsia="Calibri" w:hAnsi="Calibri"/>
                <w:color w:val="1A1A1A"/>
                <w:sz w:val="19"/>
                <w:szCs w:val="19"/>
              </w:rPr>
              <w:t xml:space="preserve">Data-modellering</w:t>
            </w:r>
          </w:p>
        </w:tc>
        <w:tc>
          <w:tcPr>
            <w:tcW w:type="dxa" w:w="2250"/>
            <w:shd w:fill="FFFFFF" w:color="auto" w:val="clear"/>
            <w:tcMar>
              <w:top w:type="dxa" w:w="90"/>
              <w:left w:type="dxa" w:w="120"/>
              <w:bottom w:type="dxa" w:w="90"/>
              <w:right w:type="dxa" w:w="120"/>
            </w:tcMar>
          </w:tcPr>
          <w:p>
            <w:r>
              <w:rPr>
                <w:rFonts w:ascii="Calibri" w:cs="Calibri" w:eastAsia="Calibri" w:hAnsi="Calibri"/>
                <w:color w:val="1A1A1A"/>
                <w:sz w:val="19"/>
                <w:szCs w:val="19"/>
              </w:rPr>
              <w:t xml:space="preserve">Elk veld getoond zonder selectie</w:t>
            </w:r>
          </w:p>
        </w:tc>
        <w:tc>
          <w:tcPr>
            <w:tcW w:type="dxa" w:w="2250"/>
            <w:shd w:fill="FFFFFF" w:color="auto" w:val="clear"/>
            <w:tcMar>
              <w:top w:type="dxa" w:w="90"/>
              <w:left w:type="dxa" w:w="120"/>
              <w:bottom w:type="dxa" w:w="90"/>
              <w:right w:type="dxa" w:w="120"/>
            </w:tcMar>
          </w:tcPr>
          <w:p>
            <w:r>
              <w:rPr>
                <w:rFonts w:ascii="Calibri" w:cs="Calibri" w:eastAsia="Calibri" w:hAnsi="Calibri"/>
                <w:color w:val="1A1A1A"/>
                <w:sz w:val="19"/>
                <w:szCs w:val="19"/>
              </w:rPr>
              <w:t xml:space="preserve">Bewuste selectie, summier gemotiveerd</w:t>
            </w:r>
          </w:p>
        </w:tc>
        <w:tc>
          <w:tcPr>
            <w:tcW w:type="dxa" w:w="2250"/>
            <w:shd w:fill="FFFFFF" w:color="auto" w:val="clear"/>
            <w:tcMar>
              <w:top w:type="dxa" w:w="90"/>
              <w:left w:type="dxa" w:w="120"/>
              <w:bottom w:type="dxa" w:w="90"/>
              <w:right w:type="dxa" w:w="120"/>
            </w:tcMar>
          </w:tcPr>
          <w:p>
            <w:r>
              <w:rPr>
                <w:rFonts w:ascii="Calibri" w:cs="Calibri" w:eastAsia="Calibri" w:hAnsi="Calibri"/>
                <w:color w:val="1A1A1A"/>
                <w:sz w:val="19"/>
                <w:szCs w:val="19"/>
              </w:rPr>
              <w:t xml:space="preserve">Selectie gemotiveerd vanuit het gebruiksdoel, transformatie functioneel</w:t>
            </w:r>
          </w:p>
        </w:tc>
      </w:tr>
      <w:tr>
        <w:tc>
          <w:tcPr>
            <w:tcW w:type="dxa" w:w="2250"/>
            <w:shd w:fill="EEF1F6" w:color="auto" w:val="clear"/>
            <w:tcMar>
              <w:top w:type="dxa" w:w="90"/>
              <w:left w:type="dxa" w:w="120"/>
              <w:bottom w:type="dxa" w:w="90"/>
              <w:right w:type="dxa" w:w="120"/>
            </w:tcMar>
          </w:tcPr>
          <w:p>
            <w:r>
              <w:rPr>
                <w:rFonts w:ascii="Calibri" w:cs="Calibri" w:eastAsia="Calibri" w:hAnsi="Calibri"/>
                <w:color w:val="1A1A1A"/>
                <w:sz w:val="19"/>
                <w:szCs w:val="19"/>
              </w:rPr>
              <w:t xml:space="preserve">Informatiemodel-raakvlak</w:t>
            </w:r>
          </w:p>
        </w:tc>
        <w:tc>
          <w:tcPr>
            <w:tcW w:type="dxa" w:w="2250"/>
            <w:shd w:fill="EEF1F6" w:color="auto" w:val="clear"/>
            <w:tcMar>
              <w:top w:type="dxa" w:w="90"/>
              <w:left w:type="dxa" w:w="120"/>
              <w:bottom w:type="dxa" w:w="90"/>
              <w:right w:type="dxa" w:w="120"/>
            </w:tcMar>
          </w:tcPr>
          <w:p>
            <w:r>
              <w:rPr>
                <w:rFonts w:ascii="Calibri" w:cs="Calibri" w:eastAsia="Calibri" w:hAnsi="Calibri"/>
                <w:color w:val="1A1A1A"/>
                <w:sz w:val="19"/>
                <w:szCs w:val="19"/>
              </w:rPr>
              <w:t xml:space="preserve">Definieert het begrip zelf in het procesmodel</w:t>
            </w:r>
          </w:p>
        </w:tc>
        <w:tc>
          <w:tcPr>
            <w:tcW w:type="dxa" w:w="2250"/>
            <w:shd w:fill="EEF1F6" w:color="auto" w:val="clear"/>
            <w:tcMar>
              <w:top w:type="dxa" w:w="90"/>
              <w:left w:type="dxa" w:w="120"/>
              <w:bottom w:type="dxa" w:w="90"/>
              <w:right w:type="dxa" w:w="120"/>
            </w:tcMar>
          </w:tcPr>
          <w:p>
            <w:r>
              <w:rPr>
                <w:rFonts w:ascii="Calibri" w:cs="Calibri" w:eastAsia="Calibri" w:hAnsi="Calibri"/>
                <w:color w:val="1A1A1A"/>
                <w:sz w:val="19"/>
                <w:szCs w:val="19"/>
              </w:rPr>
              <w:t xml:space="preserve">Verwijst naar een definitie, zonder de spanning tussen doelen te benoemen</w:t>
            </w:r>
          </w:p>
        </w:tc>
        <w:tc>
          <w:tcPr>
            <w:tcW w:type="dxa" w:w="2250"/>
            <w:shd w:fill="EEF1F6" w:color="auto" w:val="clear"/>
            <w:tcMar>
              <w:top w:type="dxa" w:w="90"/>
              <w:left w:type="dxa" w:w="120"/>
              <w:bottom w:type="dxa" w:w="90"/>
              <w:right w:type="dxa" w:w="120"/>
            </w:tcMar>
          </w:tcPr>
          <w:p>
            <w:r>
              <w:rPr>
                <w:rFonts w:ascii="Calibri" w:cs="Calibri" w:eastAsia="Calibri" w:hAnsi="Calibri"/>
                <w:color w:val="1A1A1A"/>
                <w:sz w:val="19"/>
                <w:szCs w:val="19"/>
              </w:rPr>
              <w:t xml:space="preserve">Herkent meerdere mogelijke definities en koppelt elk aan een passend gebruiksdoel</w:t>
            </w:r>
          </w:p>
        </w:tc>
      </w:tr>
      <w:tr>
        <w:tc>
          <w:tcPr>
            <w:tcW w:type="dxa" w:w="2250"/>
            <w:shd w:fill="FFFFFF" w:color="auto" w:val="clear"/>
            <w:tcMar>
              <w:top w:type="dxa" w:w="90"/>
              <w:left w:type="dxa" w:w="120"/>
              <w:bottom w:type="dxa" w:w="90"/>
              <w:right w:type="dxa" w:w="120"/>
            </w:tcMar>
          </w:tcPr>
          <w:p>
            <w:r>
              <w:rPr>
                <w:rFonts w:ascii="Calibri" w:cs="Calibri" w:eastAsia="Calibri" w:hAnsi="Calibri"/>
                <w:color w:val="1A1A1A"/>
                <w:sz w:val="19"/>
                <w:szCs w:val="19"/>
              </w:rPr>
              <w:t xml:space="preserve">Multi-instance</w:t>
            </w:r>
          </w:p>
        </w:tc>
        <w:tc>
          <w:tcPr>
            <w:tcW w:type="dxa" w:w="2250"/>
            <w:shd w:fill="FFFFFF" w:color="auto" w:val="clear"/>
            <w:tcMar>
              <w:top w:type="dxa" w:w="90"/>
              <w:left w:type="dxa" w:w="120"/>
              <w:bottom w:type="dxa" w:w="90"/>
              <w:right w:type="dxa" w:w="120"/>
            </w:tcMar>
          </w:tcPr>
          <w:p>
            <w:r>
              <w:rPr>
                <w:rFonts w:ascii="Calibri" w:cs="Calibri" w:eastAsia="Calibri" w:hAnsi="Calibri"/>
                <w:color w:val="1A1A1A"/>
                <w:sz w:val="19"/>
                <w:szCs w:val="19"/>
              </w:rPr>
              <w:t xml:space="preserve">Vaste "alle instanties"-aanname</w:t>
            </w:r>
          </w:p>
        </w:tc>
        <w:tc>
          <w:tcPr>
            <w:tcW w:type="dxa" w:w="2250"/>
            <w:shd w:fill="FFFFFF" w:color="auto" w:val="clear"/>
            <w:tcMar>
              <w:top w:type="dxa" w:w="90"/>
              <w:left w:type="dxa" w:w="120"/>
              <w:bottom w:type="dxa" w:w="90"/>
              <w:right w:type="dxa" w:w="120"/>
            </w:tcMar>
          </w:tcPr>
          <w:p>
            <w:r>
              <w:rPr>
                <w:rFonts w:ascii="Calibri" w:cs="Calibri" w:eastAsia="Calibri" w:hAnsi="Calibri"/>
                <w:color w:val="1A1A1A"/>
                <w:sz w:val="19"/>
                <w:szCs w:val="19"/>
              </w:rPr>
              <w:t xml:space="preserve">Correcte completion condition</w:t>
            </w:r>
          </w:p>
        </w:tc>
        <w:tc>
          <w:tcPr>
            <w:tcW w:type="dxa" w:w="2250"/>
            <w:shd w:fill="FFFFFF" w:color="auto" w:val="clear"/>
            <w:tcMar>
              <w:top w:type="dxa" w:w="90"/>
              <w:left w:type="dxa" w:w="120"/>
              <w:bottom w:type="dxa" w:w="90"/>
              <w:right w:type="dxa" w:w="120"/>
            </w:tcMar>
          </w:tcPr>
          <w:p>
            <w:r>
              <w:rPr>
                <w:rFonts w:ascii="Calibri" w:cs="Calibri" w:eastAsia="Calibri" w:hAnsi="Calibri"/>
                <w:color w:val="1A1A1A"/>
                <w:sz w:val="19"/>
                <w:szCs w:val="19"/>
              </w:rPr>
              <w:t xml:space="preserve">Completion condition met expliciete afweging over de resterende instanties</w:t>
            </w:r>
          </w:p>
        </w:tc>
      </w:tr>
      <w:tr>
        <w:tc>
          <w:tcPr>
            <w:tcW w:type="dxa" w:w="2250"/>
            <w:shd w:fill="EEF1F6" w:color="auto" w:val="clear"/>
            <w:tcMar>
              <w:top w:type="dxa" w:w="90"/>
              <w:left w:type="dxa" w:w="120"/>
              <w:bottom w:type="dxa" w:w="90"/>
              <w:right w:type="dxa" w:w="120"/>
            </w:tcMar>
          </w:tcPr>
          <w:p>
            <w:r>
              <w:rPr>
                <w:rFonts w:ascii="Calibri" w:cs="Calibri" w:eastAsia="Calibri" w:hAnsi="Calibri"/>
                <w:color w:val="1A1A1A"/>
                <w:sz w:val="19"/>
                <w:szCs w:val="19"/>
              </w:rPr>
              <w:t xml:space="preserve">Legacy-compromis</w:t>
            </w:r>
          </w:p>
        </w:tc>
        <w:tc>
          <w:tcPr>
            <w:tcW w:type="dxa" w:w="2250"/>
            <w:shd w:fill="EEF1F6" w:color="auto" w:val="clear"/>
            <w:tcMar>
              <w:top w:type="dxa" w:w="90"/>
              <w:left w:type="dxa" w:w="120"/>
              <w:bottom w:type="dxa" w:w="90"/>
              <w:right w:type="dxa" w:w="120"/>
            </w:tcMar>
          </w:tcPr>
          <w:p>
            <w:r>
              <w:rPr>
                <w:rFonts w:ascii="Calibri" w:cs="Calibri" w:eastAsia="Calibri" w:hAnsi="Calibri"/>
                <w:color w:val="1A1A1A"/>
                <w:sz w:val="19"/>
                <w:szCs w:val="19"/>
              </w:rPr>
              <w:t xml:space="preserve">Generieke oplossing, geen doorlooptijdimpact</w:t>
            </w:r>
          </w:p>
        </w:tc>
        <w:tc>
          <w:tcPr>
            <w:tcW w:type="dxa" w:w="2250"/>
            <w:shd w:fill="EEF1F6" w:color="auto" w:val="clear"/>
            <w:tcMar>
              <w:top w:type="dxa" w:w="90"/>
              <w:left w:type="dxa" w:w="120"/>
              <w:bottom w:type="dxa" w:w="90"/>
              <w:right w:type="dxa" w:w="120"/>
            </w:tcMar>
          </w:tcPr>
          <w:p>
            <w:r>
              <w:rPr>
                <w:rFonts w:ascii="Calibri" w:cs="Calibri" w:eastAsia="Calibri" w:hAnsi="Calibri"/>
                <w:color w:val="1A1A1A"/>
                <w:sz w:val="19"/>
                <w:szCs w:val="19"/>
              </w:rPr>
              <w:t xml:space="preserve">Specifiek compromis, doorlooptijdimpact benoemd</w:t>
            </w:r>
          </w:p>
        </w:tc>
        <w:tc>
          <w:tcPr>
            <w:tcW w:type="dxa" w:w="2250"/>
            <w:shd w:fill="EEF1F6" w:color="auto" w:val="clear"/>
            <w:tcMar>
              <w:top w:type="dxa" w:w="90"/>
              <w:left w:type="dxa" w:w="120"/>
              <w:bottom w:type="dxa" w:w="90"/>
              <w:right w:type="dxa" w:w="120"/>
            </w:tcMar>
          </w:tcPr>
          <w:p>
            <w:r>
              <w:rPr>
                <w:rFonts w:ascii="Calibri" w:cs="Calibri" w:eastAsia="Calibri" w:hAnsi="Calibri"/>
                <w:color w:val="1A1A1A"/>
                <w:sz w:val="19"/>
                <w:szCs w:val="19"/>
              </w:rPr>
              <w:t xml:space="preserve">Compromis herleid naar de knelpuntanalyse, verantwoording overtuigend voor een directeur met tijdsdruk</w:t>
            </w:r>
          </w:p>
        </w:tc>
      </w:tr>
    </w:tbl>
    <w:p>
      <w:pPr>
        <w:spacing w:before="200"/>
      </w:pPr>
    </w:p>
    <w:p>
      <w:pPr>
        <w:pStyle w:val="Heading2"/>
        <w:pBdr>
          <w:bottom w:val="single" w:color="2563A8" w:sz="6" w:space="4"/>
        </w:pBdr>
        <w:spacing w:after="160" w:before="300"/>
      </w:pPr>
      <w:r>
        <w:rPr>
          <w:rFonts w:ascii="Calibri" w:cs="Calibri" w:eastAsia="Calibri" w:hAnsi="Calibri"/>
          <w:b/>
          <w:bCs/>
          <w:color w:val="2563A8"/>
          <w:sz w:val="24"/>
          <w:szCs w:val="24"/>
        </w:rPr>
        <w:t xml:space="preserve">Benodigdheden</w:t>
      </w:r>
    </w:p>
    <w:p>
      <w:pPr>
        <w:spacing w:after="160" w:line="300"/>
        <w:jc w:val="left"/>
      </w:pPr>
      <w:r>
        <w:rPr>
          <w:rFonts w:ascii="Calibri" w:cs="Calibri" w:eastAsia="Calibri" w:hAnsi="Calibri"/>
          <w:b w:val="false"/>
          <w:bCs w:val="false"/>
          <w:i w:val="false"/>
          <w:iCs w:val="false"/>
          <w:color w:val="1A1A1A"/>
          <w:sz w:val="21"/>
          <w:szCs w:val="21"/>
        </w:rPr>
        <w:t xml:space="preserve">Werkboek per deelnemer, toegang tot Conductus, de technische notitie over de legacy-beperking als uitgereikt document, het to-be ontwerp Waardeoverdrachten van elke deelnemer (uit deel 12/13) beschikbaar.</w:t>
      </w:r>
    </w:p>
    <w:sectPr>
      <w:headerReference w:type="default" r:id="rId7"/>
      <w:footerReference w:type="default" r:id="rId8"/>
      <w:pgSz w:w="11906" w:h="16838" w:orient="portrait"/>
      <w:pgMar w:top="1100" w:right="1100" w:bottom="1100" w:left="11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6B7280"/>
        <w:sz w:val="15"/>
        <w:szCs w:val="15"/>
      </w:rPr>
      <w:t xml:space="preserve">BPMN, CMMN &amp; DMN — </w:t>
    </w:r>
    <w:r>
      <w:rPr>
        <w:rFonts w:ascii="Calibri" w:cs="Calibri" w:eastAsia="Calibri" w:hAnsi="Calibri"/>
        <w:color w:val="6B7280"/>
        <w:sz w:val="15"/>
        <w:szCs w:val="15"/>
      </w:rPr>
      <w:t xml:space="preserve">pagina </w:t>
    </w:r>
    <w:r>
      <w:rPr>
        <w:rFonts w:ascii="Calibri" w:cs="Calibri" w:eastAsia="Calibri" w:hAnsi="Calibri"/>
        <w:color w:val="6B7280"/>
        <w:sz w:val="15"/>
        <w:szCs w:val="15"/>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Calibri" w:cs="Calibri" w:eastAsia="Calibri" w:hAnsi="Calibri"/>
        <w:color w:val="6B7280"/>
        <w:sz w:val="16"/>
        <w:szCs w:val="16"/>
      </w:rPr>
      <w:t xml:space="preserve">Deel 14 · Docentenhandleiding</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2026-08-17T15:44:28.448Z</dcterms:created>
  <dcterms:modified xsi:type="dcterms:W3CDTF">2026-08-17T15:44:28.449Z</dcterms:modified>
</cp:coreProperties>
</file>

<file path=docProps/custom.xml><?xml version="1.0" encoding="utf-8"?>
<Properties xmlns="http://schemas.openxmlformats.org/officeDocument/2006/custom-properties" xmlns:vt="http://schemas.openxmlformats.org/officeDocument/2006/docPropsVTypes"/>
</file>