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14</w:t>
      </w:r>
    </w:p>
    <w:p>
      <w:pPr>
        <w:spacing w:after="300"/>
      </w:pPr>
      <w:r>
        <w:rPr>
          <w:rFonts w:ascii="Calibri" w:cs="Calibri" w:eastAsia="Calibri" w:hAnsi="Calibri"/>
          <w:b/>
          <w:bCs/>
          <w:color w:val="14213D"/>
          <w:sz w:val="34"/>
          <w:szCs w:val="34"/>
        </w:rPr>
        <w:t xml:space="preserve">Werkboek — BPMN gevorderd II: data, resources en semantiek</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in Conductus, opdracht 2 individueel, opdracht 3 (deliverable) individueel, opdracht 4 individueel, opdracht 5 in tweetallen, opdracht 6 (kerndeliverable) individueel, opdracht 7 plenair. Reken op ± 4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Data toevoegen</w:t>
      </w:r>
    </w:p>
    <w:p>
      <w:pPr>
        <w:spacing w:after="160" w:line="300"/>
        <w:jc w:val="left"/>
      </w:pPr>
      <w:r>
        <w:rPr>
          <w:rFonts w:ascii="Calibri" w:cs="Calibri" w:eastAsia="Calibri" w:hAnsi="Calibri"/>
          <w:b w:val="false"/>
          <w:bCs w:val="false"/>
          <w:i w:val="false"/>
          <w:iCs w:val="false"/>
          <w:color w:val="1A1A1A"/>
          <w:sz w:val="21"/>
          <w:szCs w:val="21"/>
        </w:rPr>
        <w:t xml:space="preserve">Neem het to-be ontwerp Waardeoverdrachten uit deel 12/13 en verrijk het met data objects, data stores en data associations, inclusief minstens één transformatie-expressie (bijvoorbeeld: het interne Meridiaan-format wordt omgezet naar het formaat dat het koppelvlak verwacht). Documenteer in een tekstannotatie: welke data heb je bewust weggelaten, en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Data state of niet</w:t>
      </w:r>
    </w:p>
    <w:p>
      <w:pPr>
        <w:spacing w:after="160" w:line="300"/>
        <w:jc w:val="left"/>
      </w:pPr>
      <w:r>
        <w:rPr>
          <w:rFonts w:ascii="Calibri" w:cs="Calibri" w:eastAsia="Calibri" w:hAnsi="Calibri"/>
          <w:b w:val="false"/>
          <w:bCs w:val="false"/>
          <w:i w:val="false"/>
          <w:iCs w:val="false"/>
          <w:color w:val="1A1A1A"/>
          <w:sz w:val="21"/>
          <w:szCs w:val="21"/>
        </w:rPr>
        <w:t xml:space="preserve">Beoordeel vijf modelfragmenten: verheldert de toegevoegde data state, of vervuilt hij het model? Motiveer per fragment.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Verwijzen naar het informatiemodel *(deliverable)*</w:t>
      </w:r>
    </w:p>
    <w:p>
      <w:pPr>
        <w:spacing w:after="160" w:line="300"/>
        <w:jc w:val="left"/>
      </w:pPr>
      <w:r>
        <w:rPr>
          <w:rFonts w:ascii="Calibri" w:cs="Calibri" w:eastAsia="Calibri" w:hAnsi="Calibri"/>
          <w:b w:val="false"/>
          <w:bCs w:val="false"/>
          <w:i w:val="false"/>
          <w:iCs w:val="false"/>
          <w:color w:val="1A1A1A"/>
          <w:sz w:val="21"/>
          <w:szCs w:val="21"/>
        </w:rPr>
        <w:t xml:space="preserve">Schrijf een korte notitie (maximaal één pagina) over het begrip "openstaande mutatie" bij het Programma Mutatieplatform: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Formuleer minstens twee mogelijke definities die in de praktijk naast elkaar zouden kunnen ontstaan.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Stel vast welke definitie voor welk doel (rapportage aan de stuurgroep, sturing binnen een afdeling, SLA-bewaking) het meest geschikt is — en benoem expliciet dat dit niet noodzakelijk dezelfde definitie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Beschrijf waar deze definitie zou moeten worden vastgelegd (gegevenswoordenboek, modelleerrichtlijn, of een nieuw op te richten begrippenkader) en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Multi-instance ontwerpen</w:t>
      </w:r>
    </w:p>
    <w:p>
      <w:pPr>
        <w:spacing w:after="160" w:line="300"/>
        <w:jc w:val="left"/>
      </w:pPr>
      <w:r>
        <w:rPr>
          <w:rFonts w:ascii="Calibri" w:cs="Calibri" w:eastAsia="Calibri" w:hAnsi="Calibri"/>
          <w:b w:val="false"/>
          <w:bCs w:val="false"/>
          <w:i w:val="false"/>
          <w:iCs w:val="false"/>
          <w:color w:val="1A1A1A"/>
          <w:sz w:val="21"/>
          <w:szCs w:val="21"/>
        </w:rPr>
        <w:t xml:space="preserve">Voor een goedkeuring door een comité van vijf leden bij Bijzondere Situaties, waarbij drie van de vijf akkoorden voldoende zijn: werk volledig uit — cardinaliteit, completion condition (als expressie), en wat elke instantie als input krijgt en als output teruggeeft. Documenteer wat er gebeurt met de reacties van de resterende twee leden als de completion condition al is vervuld.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Twee stijlen *(tweetallen)*</w:t>
      </w:r>
    </w:p>
    <w:p>
      <w:pPr>
        <w:spacing w:after="160" w:line="300"/>
        <w:jc w:val="left"/>
      </w:pPr>
      <w:r>
        <w:rPr>
          <w:rFonts w:ascii="Calibri" w:cs="Calibri" w:eastAsia="Calibri" w:hAnsi="Calibri"/>
          <w:b w:val="false"/>
          <w:bCs w:val="false"/>
          <w:i w:val="false"/>
          <w:iCs w:val="false"/>
          <w:color w:val="1A1A1A"/>
          <w:sz w:val="21"/>
          <w:szCs w:val="21"/>
        </w:rPr>
        <w:t xml:space="preserve">Modelleer hetzelfde stuk werk (kies: de volledigheidscontrole uit WI-114) eerst als mensproces en daarna als systeemorchestratie. Benoem minstens vier concrete verschillen tussen de twee modellen: granulariteit, foutafhandeling, en twee verschillen naar eigen keuze.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Legacy-compromis *(kerndeliverable)*</w:t>
      </w:r>
    </w:p>
    <w:p>
      <w:pPr>
        <w:spacing w:after="160" w:line="300"/>
        <w:jc w:val="left"/>
      </w:pPr>
      <w:r>
        <w:rPr>
          <w:rFonts w:ascii="Calibri" w:cs="Calibri" w:eastAsia="Calibri" w:hAnsi="Calibri"/>
          <w:b w:val="false"/>
          <w:bCs w:val="false"/>
          <w:i w:val="false"/>
          <w:iCs w:val="false"/>
          <w:color w:val="1A1A1A"/>
          <w:sz w:val="21"/>
          <w:szCs w:val="21"/>
        </w:rPr>
        <w:t xml:space="preserve">Gegeven de volgende beperking van het polisadministratiesysteem (uitgereikt als korte technische notitie): het systeem verwerkt mutaties uitsluitend in een nachtelijke batch en geeft geen directe bevestiging, alleen een statusveld dat de volgende ochtend uitleesbaar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Pas je to-be ontwerp van Waardeoverdrachten (of een ander proces naar keuze) hierop 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Documenteer expliciet welk deel van je oorspronkelijke ontwerp je moest opgeven, en wat het alternatief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Bereken (of schat, met onderbouwing) de impact op de doorlooptijd die je in deel 12 hebt geanalyseerd.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Schrijf een korte verantwoording (maximaal een halve pagina) gericht aan de programmadirecteur: waarom is dit compromis acceptabel, of — als je vindt van niet — wat stel je in plaats daarvan voor (bijvoorbeeld: investeren in een koppelvlakverbetering)?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Data state voegt bijna nooit iets toe dat de activiteit zelf niet al vertelt.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Elke organisatie zou een gegevenswoordenboek moeten hebben vóórdat ze aan procesmodellering begint.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Functiescheiding hoort in het autorisatiemodel geregeld te worden, niet in het procesmodel.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legacy-beperking die de doorlooptijd verdubbelt, is een architectuurprobleem, geen procesprobleem — je zou het nooit met een procesontwerp moeten oplossen.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15 gaat over DMN gevorderd, verspreid over twee dagdelen: decompositie, FEEL diepgaand en boxed expressions in het eerste, tabelanalyse en testen in het tweede. Dit is het zwaarste deel van niveau 2.</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14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2026-08-17T15:44:28.266Z</dcterms:created>
  <dcterms:modified xsi:type="dcterms:W3CDTF">2026-08-17T15:44:28.267Z</dcterms:modified>
</cp:coreProperties>
</file>

<file path=docProps/custom.xml><?xml version="1.0" encoding="utf-8"?>
<Properties xmlns="http://schemas.openxmlformats.org/officeDocument/2006/custom-properties" xmlns:vt="http://schemas.openxmlformats.org/officeDocument/2006/docPropsVTypes"/>
</file>