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563A8"/>
          <w:sz w:val="20"/>
          <w:szCs w:val="20"/>
        </w:rPr>
        <w:t xml:space="preserve">BPMN, CMMN &amp; DMN</w:t>
      </w:r>
    </w:p>
    <w:p>
      <w:pPr>
        <w:spacing w:after="40"/>
      </w:pPr>
      <w:r>
        <w:rPr>
          <w:rFonts w:ascii="Calibri" w:cs="Calibri" w:eastAsia="Calibri" w:hAnsi="Calibri"/>
          <w:color w:val="6B7280"/>
          <w:sz w:val="22"/>
          <w:szCs w:val="22"/>
        </w:rPr>
        <w:t xml:space="preserve">Niveau 2 — Praktijk · Deel 15</w:t>
      </w:r>
    </w:p>
    <w:p>
      <w:pPr>
        <w:spacing w:after="300"/>
      </w:pPr>
      <w:r>
        <w:rPr>
          <w:rFonts w:ascii="Calibri" w:cs="Calibri" w:eastAsia="Calibri" w:hAnsi="Calibri"/>
          <w:b/>
          <w:bCs/>
          <w:color w:val="14213D"/>
          <w:sz w:val="32"/>
          <w:szCs w:val="32"/>
        </w:rPr>
        <w:t xml:space="preserve">Docentenhandleiding — DMN gevorderd</w:t>
      </w:r>
    </w:p>
    <w:p>
      <w:pPr>
        <w:pStyle w:val="Heading2"/>
        <w:pBdr>
          <w:bottom w:val="single" w:color="2563A8" w:sz="6" w:space="4"/>
        </w:pBdr>
        <w:spacing w:after="160" w:before="300"/>
      </w:pPr>
      <w:r>
        <w:rPr>
          <w:rFonts w:ascii="Calibri" w:cs="Calibri" w:eastAsia="Calibri" w:hAnsi="Calibri"/>
          <w:b/>
          <w:bCs/>
          <w:color w:val="2563A8"/>
          <w:sz w:val="24"/>
          <w:szCs w:val="24"/>
        </w:rPr>
        <w:t xml:space="preserve">Doel en positie</w:t>
      </w:r>
    </w:p>
    <w:p>
      <w:pPr>
        <w:spacing w:after="160" w:line="300"/>
        <w:jc w:val="left"/>
      </w:pPr>
      <w:r>
        <w:rPr>
          <w:rFonts w:ascii="Calibri" w:cs="Calibri" w:eastAsia="Calibri" w:hAnsi="Calibri"/>
          <w:b w:val="false"/>
          <w:bCs w:val="false"/>
          <w:i w:val="false"/>
          <w:iCs w:val="false"/>
          <w:color w:val="1A1A1A"/>
          <w:sz w:val="21"/>
          <w:szCs w:val="21"/>
        </w:rPr>
        <w:t xml:space="preserve">Het zwaarste deel van niveau 2, zowel qua technische inhoud (FEEL, boxed expressions) als qua abstractievermogen (decompositie, tabelanalyse). De splitsing over twee dagdelen is bewust: probeer dit niet in één sessie te persen, ook niet bij een ervaren groep. Tussen de twee dagdelen zit idealiter minstens enkele dagen zelfstudietijd voor FEEL-oefening — deelnemers die dagdeel 2 starten zonder de FEEL-basis uit dagdeel 1 verinnerlijkt te hebben, lopen vast bij de tabelanalyse en het testen.</w:t>
      </w:r>
    </w:p>
    <w:p>
      <w:pPr>
        <w:spacing w:after="160" w:line="300"/>
        <w:jc w:val="left"/>
      </w:pPr>
      <w:r>
        <w:rPr>
          <w:rFonts w:ascii="Calibri" w:cs="Calibri" w:eastAsia="Calibri" w:hAnsi="Calibri"/>
          <w:b w:val="false"/>
          <w:bCs w:val="false"/>
          <w:i w:val="false"/>
          <w:iCs w:val="false"/>
          <w:color w:val="1A1A1A"/>
          <w:sz w:val="21"/>
          <w:szCs w:val="21"/>
        </w:rPr>
        <w:t xml:space="preserve">Positioneer dit deel expliciet als voorbereiding op DMN Method &amp; Style: waar niveau 1 en het grootste deel van niveau 2 beoordeeld worden op begrip, wordt Method &amp; Style beoordeeld op daadwerkelijk ingeleverd modelwerk. De testset in opdracht 7 is qua vorm het dichtst bij wat een Method &amp; Style-beoordelaar verwacht te zien.</w:t>
      </w:r>
    </w:p>
    <w:p>
      <w:pPr>
        <w:pStyle w:val="Heading2"/>
        <w:pBdr>
          <w:bottom w:val="single" w:color="2563A8" w:sz="6" w:space="4"/>
        </w:pBdr>
        <w:spacing w:after="160" w:before="300"/>
      </w:pPr>
      <w:r>
        <w:rPr>
          <w:rFonts w:ascii="Calibri" w:cs="Calibri" w:eastAsia="Calibri" w:hAnsi="Calibri"/>
          <w:b/>
          <w:bCs/>
          <w:color w:val="2563A8"/>
          <w:sz w:val="24"/>
          <w:szCs w:val="24"/>
        </w:rPr>
        <w:t xml:space="preserve">Tijdschema — Dagdeel 1 (3,5 uur)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Tijd</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Onderdeel</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Werkvorm</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0:00 – 0:10</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Terugblik deel 14, aankondiging: twee dagdelen, zwaarste deel van niveau 2</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Plenair</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0:10 – 0:35</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Decompositie (§15.1)</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Presentatie, figuur 15.1, casusfragment</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0:35 – 1:05</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Opdracht 1</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Individueel</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1:05 – 1:20</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Pauze</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1:20 – 1:50</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FEEL diepgaand (§15.2), met nadruk op temporele expressies</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Presentatie</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1:50 – 2:20</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Opdracht 2</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Individueel, met ruimte voor vragen per expressie</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2:20 – 2:35</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Pauze</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2:35 – 3:00</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Boxed expressions (§15.3)</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Presentatie, figuur 15.2</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3:00 – 3:15</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Opdracht 3</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Individueel, kort klassikaal bespreken</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3:15 – 3:35</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Iterators (§15.4) — opdracht 4, BKM's (§15.5) — opdracht 5 starten</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Presentatie + start deliverable</w:t>
            </w:r>
          </w:p>
        </w:tc>
      </w:tr>
    </w:tbl>
    <w:p>
      <w:pPr>
        <w:spacing w:before="200"/>
      </w:pPr>
    </w:p>
    <w:p>
      <w:pPr>
        <w:pStyle w:val="Heading2"/>
        <w:pBdr>
          <w:bottom w:val="single" w:color="2563A8" w:sz="6" w:space="4"/>
        </w:pBdr>
        <w:spacing w:after="160" w:before="300"/>
      </w:pPr>
      <w:r>
        <w:rPr>
          <w:rFonts w:ascii="Calibri" w:cs="Calibri" w:eastAsia="Calibri" w:hAnsi="Calibri"/>
          <w:b/>
          <w:bCs/>
          <w:color w:val="2563A8"/>
          <w:sz w:val="24"/>
          <w:szCs w:val="24"/>
        </w:rPr>
        <w:t xml:space="preserve">Tijdschema — Dagdeel 2 (3,5 uur)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Tijd</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Onderdeel</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Werkvorm</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0:00 – 0:15</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Terugblik dagdeel 1, korte FEEL-opfrisser</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Plenair</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0:15 – 0:20</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Opdracht 5 afronden (indien nog niet klaar)</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Individueel</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0:20 – 0:50</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Analyse van tabellen (§15.6)</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Presentatie, figuur 15.4</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0:50 – 1:30</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Opdracht 6</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Individueel</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1:30 – 1:45</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Pauze</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1:45 – 2:10</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Testen (§15.7)</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Presentatie, figuur 15.5</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2:10 – 3:00</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Opdracht 7</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Individueel, kerndeliverable</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3:00 – 3:15</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Pauze</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3:15 – 3:35</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Opdracht 8, vooruitblik</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Plenair</w:t>
            </w:r>
          </w:p>
        </w:tc>
      </w:tr>
    </w:tbl>
    <w:p>
      <w:pPr>
        <w:spacing w:before="200"/>
      </w:pPr>
    </w:p>
    <w:p>
      <w:pPr>
        <w:pStyle w:val="Heading2"/>
        <w:pBdr>
          <w:bottom w:val="single" w:color="2563A8" w:sz="6" w:space="4"/>
        </w:pBdr>
        <w:spacing w:after="160" w:before="300"/>
      </w:pPr>
      <w:r>
        <w:rPr>
          <w:rFonts w:ascii="Calibri" w:cs="Calibri" w:eastAsia="Calibri" w:hAnsi="Calibri"/>
          <w:b/>
          <w:bCs/>
          <w:color w:val="2563A8"/>
          <w:sz w:val="24"/>
          <w:szCs w:val="24"/>
        </w:rPr>
        <w:t xml:space="preserve">Uitwerkingen</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1 — Decompositie</w:t>
      </w:r>
    </w:p>
    <w:p>
      <w:pPr>
        <w:spacing w:after="160" w:line="300"/>
        <w:jc w:val="left"/>
      </w:pPr>
      <w:r>
        <w:rPr>
          <w:rFonts w:ascii="Calibri" w:cs="Calibri" w:eastAsia="Calibri" w:hAnsi="Calibri"/>
          <w:b w:val="false"/>
          <w:bCs w:val="false"/>
          <w:i w:val="false"/>
          <w:iCs w:val="false"/>
          <w:color w:val="1A1A1A"/>
          <w:sz w:val="21"/>
          <w:szCs w:val="21"/>
        </w:rPr>
        <w:t xml:space="preserve">Geen uniek antwoord. Verwacht een DRD met minstens: "Kortingspercentage vervroeging" (input: jaren vervroeging), een tweede tussenliggende decision (bijvoorbeeld "Partnerkorting" of "Correctie waardeoverdracht"), samenkomend in "Definitief uitkeringspercentage". Beoordeel de motivatie: een goede snijlijn scheidt logica die apart wijzigt (bijvoorbeeld een wettelijke staffel) van logica die stabiel blijft.</w:t>
      </w:r>
    </w:p>
    <w:p>
      <w:pPr>
        <w:spacing w:after="160" w:line="300"/>
        <w:jc w:val="left"/>
      </w:pPr>
      <w:r>
        <w:rPr>
          <w:rFonts w:ascii="Calibri" w:cs="Calibri" w:eastAsia="Calibri" w:hAnsi="Calibri"/>
          <w:b/>
          <w:bCs/>
          <w:i w:val="false"/>
          <w:iCs w:val="false"/>
          <w:color w:val="1A1A1A"/>
          <w:sz w:val="21"/>
          <w:szCs w:val="21"/>
        </w:rPr>
        <w:t xml:space="preserve">Bespreekpunt.</w:t>
      </w:r>
      <w:r>
        <w:rPr>
          <w:rFonts w:ascii="Calibri" w:cs="Calibri" w:eastAsia="Calibri" w:hAnsi="Calibri"/>
          <w:b w:val="false"/>
          <w:bCs w:val="false"/>
          <w:i w:val="false"/>
          <w:iCs w:val="false"/>
          <w:color w:val="1A1A1A"/>
          <w:sz w:val="21"/>
          <w:szCs w:val="21"/>
        </w:rPr>
        <w:t xml:space="preserve"> Sommige deelnemers snijden te fijnmazig (een aparte decision per individuele conditie) — gebruik dit als vooruitwijzing naar het BKM-granulariteitsvraagstuk in §15.5.</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2 — FEEL-oefeningen</w:t>
      </w:r>
    </w:p>
    <w:p>
      <w:pPr>
        <w:spacing w:after="160" w:line="300"/>
        <w:jc w:val="left"/>
      </w:pPr>
      <w:r>
        <w:rPr>
          <w:rFonts w:ascii="Calibri" w:cs="Calibri" w:eastAsia="Calibri" w:hAnsi="Calibri"/>
          <w:b w:val="false"/>
          <w:bCs w:val="false"/>
          <w:i w:val="false"/>
          <w:iCs w:val="false"/>
          <w:color w:val="1A1A1A"/>
          <w:sz w:val="21"/>
          <w:szCs w:val="21"/>
        </w:rPr>
        <w:t xml:space="preserve">Voorbeelduitwerkingen (variaties zijn mogelijk en acceptabel zolang functioneel correct):</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`&gt; 100`</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`starts with(?, "M")` (afhankelijk van tool-syntaxis; kernidee: een tekstfunctie op het beginstuk)</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`&gt; date("2026-01-01")`</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`[18..67]`</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`date(?) - date(?)` levert een duration op; laat deelnemers dit expliciet als duration benoemen, niet als getal.</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 naam: "Jansen", leeftijd: 45, actief: true }`</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 lijst: [4,7,2], totaal: sum([4,7,2]) }` of vergelijkbaar</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`number("45")`</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Combinatie van een datumvergelijking met een duration-optelling: `datum &lt;= startdatum + duration("P5Y")`</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`years and months duration(geboortedatum, peildatum)` of een vergelijkbare ingebouwde functie, afhankelijk van de exacte FEEL-implementatie</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`some d in dienstverbanden satisfies d.actief`</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`sum(for d in dienstverbanden return d.jaren)`</w:t>
      </w:r>
    </w:p>
    <w:p>
      <w:pPr>
        <w:spacing w:after="160" w:line="300"/>
        <w:jc w:val="left"/>
      </w:pPr>
      <w:r>
        <w:rPr>
          <w:rFonts w:ascii="Calibri" w:cs="Calibri" w:eastAsia="Calibri" w:hAnsi="Calibri"/>
          <w:b/>
          <w:bCs/>
          <w:i w:val="false"/>
          <w:iCs w:val="false"/>
          <w:color w:val="1A1A1A"/>
          <w:sz w:val="21"/>
          <w:szCs w:val="21"/>
        </w:rPr>
        <w:t xml:space="preserve">Bespreekpunt.</w:t>
      </w:r>
      <w:r>
        <w:rPr>
          <w:rFonts w:ascii="Calibri" w:cs="Calibri" w:eastAsia="Calibri" w:hAnsi="Calibri"/>
          <w:b w:val="false"/>
          <w:bCs w:val="false"/>
          <w:i w:val="false"/>
          <w:iCs w:val="false"/>
          <w:color w:val="1A1A1A"/>
          <w:sz w:val="21"/>
          <w:szCs w:val="21"/>
        </w:rPr>
        <w:t xml:space="preserve"> Vraag 5, 9 en 10 (temporele expressies) leveren de meeste vragen op — reserveer hier bewust extra uitlegtijd voor, in lijn met de waarschuwing in §15.2 dat dit cruciaal is in een pensioencontext.</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3 — Kies de boxed expression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Antwoord</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Waarom niet de andere vijf</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1</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Literal expression</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Geen regellogica nodig; een tabel zou hier overkill zijn.</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2</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Context</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Meerdere samenhangende uitkomsten tegelijk — precies het doel van deze vorm.</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3</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Invocation</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Dit ís de definitie van een aanroep van herbruikbare logica.</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4</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Relation</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Statische data zonder regellogica — geen tabel, geen berekening.</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5</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Function</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De definitie van de herbruikbare logica zelf, met parameters.</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6</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Iterator (every)</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"Alle" is het signaalwoord voor `every…satisfies`.</w:t>
            </w:r>
          </w:p>
        </w:tc>
      </w:tr>
    </w:tbl>
    <w:p>
      <w:pPr>
        <w:spacing w:before="200"/>
      </w:pP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4 — Iterator toepassen</w:t>
      </w:r>
    </w:p>
    <w:p>
      <w:pPr>
        <w:spacing w:after="160" w:line="300"/>
        <w:jc w:val="left"/>
      </w:pPr>
      <w:r>
        <w:rPr>
          <w:rFonts w:ascii="Calibri" w:cs="Calibri" w:eastAsia="Calibri" w:hAnsi="Calibri"/>
          <w:b w:val="false"/>
          <w:bCs w:val="false"/>
          <w:i w:val="false"/>
          <w:iCs w:val="false"/>
          <w:color w:val="1A1A1A"/>
          <w:sz w:val="21"/>
          <w:szCs w:val="21"/>
        </w:rPr>
        <w:t xml:space="preserve">Verwacht: `sum(for d in dienstverbanden return d.jaren)` voor het totaal, en `some d in dienstverbanden satisfies d.type = "overdracht"` voor de tweede expressie. Controleer of deelnemers het verschil tussen `for` (transformeert, levert een lijst) en `some`/`every` (toetst, levert true/false) correct hebben toegepast.</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5 — BKM ontwerpen</w:t>
      </w:r>
    </w:p>
    <w:p>
      <w:pPr>
        <w:spacing w:after="160" w:line="300"/>
        <w:jc w:val="left"/>
      </w:pPr>
      <w:r>
        <w:rPr>
          <w:rFonts w:ascii="Calibri" w:cs="Calibri" w:eastAsia="Calibri" w:hAnsi="Calibri"/>
          <w:b w:val="false"/>
          <w:bCs w:val="false"/>
          <w:i w:val="false"/>
          <w:iCs w:val="false"/>
          <w:color w:val="1A1A1A"/>
          <w:sz w:val="21"/>
          <w:szCs w:val="21"/>
        </w:rPr>
        <w:t xml:space="preserve">Geen uniek antwoord. Beoordeel vooral de granulariteitsmotivatie: is de BKM breed genoeg om echt herbruikbaar te zijn (niet slechts één rekenstap die maar op één plek voorkomt) en smal genoeg om behapbaar te blijven (niet de hele berekening in één BKM)? Een BKM met precies de kortingsberekening als geïsoleerd, parametriseerbaar stuk logica is de kern van een goed antwoord.</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6 — Tabelanalyse</w:t>
      </w:r>
    </w:p>
    <w:p>
      <w:pPr>
        <w:spacing w:after="160" w:line="300"/>
        <w:jc w:val="left"/>
      </w:pPr>
      <w:r>
        <w:rPr>
          <w:rFonts w:ascii="Calibri" w:cs="Calibri" w:eastAsia="Calibri" w:hAnsi="Calibri"/>
          <w:b w:val="false"/>
          <w:bCs w:val="false"/>
          <w:i w:val="false"/>
          <w:iCs w:val="false"/>
          <w:color w:val="1A1A1A"/>
          <w:sz w:val="21"/>
          <w:szCs w:val="21"/>
        </w:rPr>
        <w:t xml:space="preserve">Afhankelijk van de aangeleverde tabellen. Verwacht per tabel één dominant probleem, met mogelijk een secundair probleem als extra uitdaging voor snelle deelnemers. Controleer of de correctie functioneel is (het probleem daadwerkelijk oplost) en niet slechts een cosmetische wijziging.</w:t>
      </w:r>
    </w:p>
    <w:p>
      <w:pPr>
        <w:spacing w:after="160" w:line="300"/>
        <w:jc w:val="left"/>
      </w:pPr>
      <w:r>
        <w:rPr>
          <w:rFonts w:ascii="Calibri" w:cs="Calibri" w:eastAsia="Calibri" w:hAnsi="Calibri"/>
          <w:b/>
          <w:bCs/>
          <w:i w:val="false"/>
          <w:iCs w:val="false"/>
          <w:color w:val="1A1A1A"/>
          <w:sz w:val="21"/>
          <w:szCs w:val="21"/>
        </w:rPr>
        <w:t xml:space="preserve">Onderscheid subsumptie/onbereikbare regel dat vaak verward wordt.</w:t>
      </w:r>
      <w:r>
        <w:rPr>
          <w:rFonts w:ascii="Calibri" w:cs="Calibri" w:eastAsia="Calibri" w:hAnsi="Calibri"/>
          <w:b w:val="false"/>
          <w:bCs w:val="false"/>
          <w:i w:val="false"/>
          <w:iCs w:val="false"/>
          <w:color w:val="1A1A1A"/>
          <w:sz w:val="21"/>
          <w:szCs w:val="21"/>
        </w:rPr>
        <w:t xml:space="preserve"> Subsumptie is een overlap-probleem (twee regels die (deels) hetzelfde gebied dekken); een onbereikbare regel is een volgorde-probleem (de regel zelf is prima, maar komt door een eerdere, bredere regel bij een First-hit-policy nooit aan de beurt). Beide kunnen in dezelfde tabel voorkomen maar vragen om een andere correctie: bij subsumptie pas je de ranges aan, bij een onbereikbare regel pas je de volgorde aan of verandert de hit policy.</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7 — Testset opstellen</w:t>
      </w:r>
    </w:p>
    <w:p>
      <w:pPr>
        <w:spacing w:after="160" w:line="300"/>
        <w:jc w:val="left"/>
      </w:pPr>
      <w:r>
        <w:rPr>
          <w:rFonts w:ascii="Calibri" w:cs="Calibri" w:eastAsia="Calibri" w:hAnsi="Calibri"/>
          <w:b w:val="false"/>
          <w:bCs w:val="false"/>
          <w:i w:val="false"/>
          <w:iCs w:val="false"/>
          <w:color w:val="1A1A1A"/>
          <w:sz w:val="21"/>
          <w:szCs w:val="21"/>
        </w:rPr>
        <w:t xml:space="preserve">Geen uniek antwoord. Kernpunt van beoordeling:</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Zijn de grenswaarden daadwerkelijk grenswaarden (exact op de rand van een range), niet alleen "een extreem getal"?</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Is de dekkingsgraad correct berekend (regels geraakt / totaal aantal regels), en is elke niet-gedekte regel expliciet benoemd met een oordeel of dat acceptabel is?</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Is er een zichtbare relatie met de tabelanalyse uit opdracht 6 — pakt de testset specifiek de foutgevoelige combinaties aan die daar zijn geïdentificeerd, of is de testset generiek opgesteld zonder die kennis te gebruiken?</w:t>
      </w:r>
    </w:p>
    <w:p>
      <w:pPr>
        <w:spacing w:after="160" w:line="300"/>
        <w:jc w:val="left"/>
      </w:pPr>
      <w:r>
        <w:rPr>
          <w:rFonts w:ascii="Calibri" w:cs="Calibri" w:eastAsia="Calibri" w:hAnsi="Calibri"/>
          <w:b/>
          <w:bCs/>
          <w:i w:val="false"/>
          <w:iCs w:val="false"/>
          <w:color w:val="1A1A1A"/>
          <w:sz w:val="21"/>
          <w:szCs w:val="21"/>
        </w:rPr>
        <w:t xml:space="preserve">Signaal om te herkennen.</w:t>
      </w:r>
      <w:r>
        <w:rPr>
          <w:rFonts w:ascii="Calibri" w:cs="Calibri" w:eastAsia="Calibri" w:hAnsi="Calibri"/>
          <w:b w:val="false"/>
          <w:bCs w:val="false"/>
          <w:i w:val="false"/>
          <w:iCs w:val="false"/>
          <w:color w:val="1A1A1A"/>
          <w:sz w:val="21"/>
          <w:szCs w:val="21"/>
        </w:rPr>
        <w:t xml:space="preserve"> Een deelnemer die 100% dekking claimt zonder één grenswaarde te hebben getest, heeft "dekking" verward met "elke regel minstens oppervlakkig geraakt" — vraag door op wat er precies bij elke grens gebeurt.</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8 — Stellingen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Breed gedragen, directe herhaling van de reader se kernboodschap.</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Prikkelend en deels waar: decompositie voegt structuurcomplexiteit toe (meer decisions om te overzien) in ruil voor leesbaarheidswinst per tabel — bij een kleine tabel is die ruil het niet waard. Verwijs naar de signalen in §15.1 als vuistregel voor wanneer het wel loont.</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Nuance nodig: een tool kan structurele subsumptie detecteren, maar niet beoordelen of het een bewuste vereenvoudiging of een fout is — dat vergt businesskennis (§15.6, slotzin). Volledige automatisering lost dus niet alles op.</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Realistisch en de moeite waard om open te bespreken — een goede aanleiding om te vragen wat de docent (of ervaren deelnemers) zelf als leerdrempel bij FEEL hebben ervaren.</w:t>
      </w:r>
    </w:p>
    <w:p>
      <w:pPr>
        <w:pStyle w:val="Heading2"/>
        <w:pBdr>
          <w:bottom w:val="single" w:color="2563A8" w:sz="6" w:space="4"/>
        </w:pBdr>
        <w:spacing w:after="160" w:before="300"/>
      </w:pPr>
      <w:r>
        <w:rPr>
          <w:rFonts w:ascii="Calibri" w:cs="Calibri" w:eastAsia="Calibri" w:hAnsi="Calibri"/>
          <w:b/>
          <w:bCs/>
          <w:color w:val="2563A8"/>
          <w:sz w:val="24"/>
          <w:szCs w:val="24"/>
        </w:rPr>
        <w:t xml:space="preserve">Veelgemaakte fouten in dit deel</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Decompositie te fijnmazig toepassen</w:t>
      </w:r>
      <w:r>
        <w:rPr>
          <w:rFonts w:ascii="Calibri" w:cs="Calibri" w:eastAsia="Calibri" w:hAnsi="Calibri"/>
          <w:b w:val="false"/>
          <w:bCs w:val="false"/>
          <w:i w:val="false"/>
          <w:iCs w:val="false"/>
          <w:color w:val="1A1A1A"/>
          <w:sz w:val="21"/>
          <w:szCs w:val="21"/>
        </w:rPr>
        <w:t xml:space="preserve"> (zie opdracht 1) — een teken dat het BKM-granulariteitsvraagstuk uit §15.5 nog niet is doorleefd.</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Temporele FEEL-expressies fout typeren</w:t>
      </w:r>
      <w:r>
        <w:rPr>
          <w:rFonts w:ascii="Calibri" w:cs="Calibri" w:eastAsia="Calibri" w:hAnsi="Calibri"/>
          <w:b w:val="false"/>
          <w:bCs w:val="false"/>
          <w:i w:val="false"/>
          <w:iCs w:val="false"/>
          <w:color w:val="1A1A1A"/>
          <w:sz w:val="21"/>
          <w:szCs w:val="21"/>
        </w:rPr>
        <w:t xml:space="preserve"> — een duration behandelen als een getal in plaats van als een eigen type. Dit leidt tot subtiele fouten die pas bij testen (§15.7) aan het licht komen — een mooie illustratie van waarom testen niet optioneel is.</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Beslistabel forceren waar een andere boxed expression past</w:t>
      </w:r>
      <w:r>
        <w:rPr>
          <w:rFonts w:ascii="Calibri" w:cs="Calibri" w:eastAsia="Calibri" w:hAnsi="Calibri"/>
          <w:b w:val="false"/>
          <w:bCs w:val="false"/>
          <w:i w:val="false"/>
          <w:iCs w:val="false"/>
          <w:color w:val="1A1A1A"/>
          <w:sz w:val="21"/>
          <w:szCs w:val="21"/>
        </w:rPr>
        <w:t xml:space="preserve"> — zie opdracht 3, het meest voorkomende foutpatroon is een tabel bouwen voor een pure berekening zonder regellogica.</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Dekkingsgraad claimen zonder grenswaarden te testen</w:t>
      </w:r>
      <w:r>
        <w:rPr>
          <w:rFonts w:ascii="Calibri" w:cs="Calibri" w:eastAsia="Calibri" w:hAnsi="Calibri"/>
          <w:b w:val="false"/>
          <w:bCs w:val="false"/>
          <w:i w:val="false"/>
          <w:iCs w:val="false"/>
          <w:color w:val="1A1A1A"/>
          <w:sz w:val="21"/>
          <w:szCs w:val="21"/>
        </w:rPr>
        <w:t xml:space="preserve"> — zie opdracht 7's signaal.</w:t>
      </w:r>
    </w:p>
    <w:p>
      <w:pPr>
        <w:pStyle w:val="Heading2"/>
        <w:pBdr>
          <w:bottom w:val="single" w:color="2563A8" w:sz="6" w:space="4"/>
        </w:pBdr>
        <w:spacing w:after="160" w:before="300"/>
      </w:pPr>
      <w:r>
        <w:rPr>
          <w:rFonts w:ascii="Calibri" w:cs="Calibri" w:eastAsia="Calibri" w:hAnsi="Calibri"/>
          <w:b/>
          <w:bCs/>
          <w:color w:val="2563A8"/>
          <w:sz w:val="24"/>
          <w:szCs w:val="24"/>
        </w:rPr>
        <w:t xml:space="preserve">Beoordelingsrubric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Criterium</w:t>
            </w:r>
          </w:p>
        </w:tc>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Onvoldoende</w:t>
            </w:r>
          </w:p>
        </w:tc>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Voldoende</w:t>
            </w:r>
          </w:p>
        </w:tc>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Goed</w:t>
            </w:r>
          </w:p>
        </w:tc>
      </w:tr>
      <w:tr>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Decompositie</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Geen of willekeurige splitsing</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Functionele splitsing, beperkte motivatie</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Splitsing gemotiveerd op wijzigingsfrequentie en herbruikbaarheid</w:t>
            </w:r>
          </w:p>
        </w:tc>
      </w:tr>
      <w:tr>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FEEL</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Basisexpressies correct, temporele expressies fout</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Temporele expressies grotendeels correct</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Temporele expressies correct getypeerd, iterators vlot toegepast</w:t>
            </w:r>
          </w:p>
        </w:tc>
      </w:tr>
      <w:tr>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Boxed expressions</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Forceert alles in tabelvorm</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Kiest passend in eenduidige gevallen</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Beargumenteert waarom niet de andere vijf vormen pasten</w:t>
            </w:r>
          </w:p>
        </w:tc>
      </w:tr>
      <w:tr>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Tabelanalyse</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Vindt alleen overlap, mist subsumptie/onbereikbaarheid</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Vindt de meeste fouten, correcties grotendeels functioneel</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Vindt en onderscheidt alle fouttypen, correcties precies</w:t>
            </w:r>
          </w:p>
        </w:tc>
      </w:tr>
      <w:tr>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Testen</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Testset zonder grenswaarden, dekking niet berekend</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Testset met grenswaarden, dekking berekend</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Testset gekoppeld aan tabelanalyse, niet-gedekte regels expliciet beoordeeld</w:t>
            </w:r>
          </w:p>
        </w:tc>
      </w:tr>
    </w:tbl>
    <w:p>
      <w:pPr>
        <w:spacing w:before="200"/>
      </w:pPr>
    </w:p>
    <w:p>
      <w:pPr>
        <w:pStyle w:val="Heading2"/>
        <w:pBdr>
          <w:bottom w:val="single" w:color="2563A8" w:sz="6" w:space="4"/>
        </w:pBdr>
        <w:spacing w:after="160" w:before="300"/>
      </w:pPr>
      <w:r>
        <w:rPr>
          <w:rFonts w:ascii="Calibri" w:cs="Calibri" w:eastAsia="Calibri" w:hAnsi="Calibri"/>
          <w:b/>
          <w:bCs/>
          <w:color w:val="2563A8"/>
          <w:sz w:val="24"/>
          <w:szCs w:val="24"/>
        </w:rPr>
        <w:t xml:space="preserve">Benodigdheden</w:t>
      </w:r>
    </w:p>
    <w:p>
      <w:pPr>
        <w:spacing w:after="160" w:line="300"/>
        <w:jc w:val="left"/>
      </w:pPr>
      <w:r>
        <w:rPr>
          <w:rFonts w:ascii="Calibri" w:cs="Calibri" w:eastAsia="Calibri" w:hAnsi="Calibri"/>
          <w:b w:val="false"/>
          <w:bCs w:val="false"/>
          <w:i w:val="false"/>
          <w:iCs w:val="false"/>
          <w:color w:val="1A1A1A"/>
          <w:sz w:val="21"/>
          <w:szCs w:val="21"/>
        </w:rPr>
        <w:t xml:space="preserve">Werkboek per deelnemer (beide dagdelen), toegang tot Conductus, vier beslistabellen met ingebouwde fouten voor opdracht 6 als uitgereikt document, voldoende tijd tussen de twee dagdelen voor zelfstandige FEEL-oefening.</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BPMN, CMMN &amp; DMN — </w:t>
    </w:r>
    <w:r>
      <w:rPr>
        <w:rFonts w:ascii="Calibri" w:cs="Calibri" w:eastAsia="Calibri" w:hAnsi="Calibri"/>
        <w:color w:val="6B7280"/>
        <w:sz w:val="15"/>
        <w:szCs w:val="15"/>
      </w:rPr>
      <w:t xml:space="preserve">pagina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Deel 15 · Docentenhandleiding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2026-08-17T15:44:29.454Z</dcterms:created>
  <dcterms:modified xsi:type="dcterms:W3CDTF">2026-08-17T15:44:29.456Z</dcterms:modified>
</cp:coreProperties>
</file>

<file path=docProps/custom.xml><?xml version="1.0" encoding="utf-8"?>
<Properties xmlns="http://schemas.openxmlformats.org/officeDocument/2006/custom-properties" xmlns:vt="http://schemas.openxmlformats.org/officeDocument/2006/docPropsVTypes"/>
</file>