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16</w:t>
      </w:r>
    </w:p>
    <w:p>
      <w:pPr>
        <w:spacing w:after="300"/>
      </w:pPr>
      <w:r>
        <w:rPr>
          <w:rFonts w:ascii="Calibri" w:cs="Calibri" w:eastAsia="Calibri" w:hAnsi="Calibri"/>
          <w:b/>
          <w:bCs/>
          <w:color w:val="14213D"/>
          <w:sz w:val="32"/>
          <w:szCs w:val="32"/>
        </w:rPr>
        <w:t xml:space="preserve">Docentenhandleiding — Beslismanagement en regelbeheer</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Dit deel bouwt direct voort op deel 15 (het beslismodel bestaat al) en levert het beheerskader eromheen. Het zwaartepunt qua moeilijkheidsgraad ligt niet in de notatie — er wordt nauwelijks nieuw gemodelleerd — maar in het denkwerk van §16.5 (terugwerkende kracht), dat in de opzet van dit curriculum bewust is aangemerkt als het moeilijkste vraagstuk van heel niveau 2. Bereid je voor op een opdracht 5 die geen nette afronding kent, en communiceer dat vooraf aan de deelnemers zodat ze niet naar een oplossing blijven zoeken die er niet is.</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15,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Regel, beslissing, beleid (§16.1)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16.1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Van wetgeving naar regel (§16.2)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16.2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1:15 – 1:30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1:30 – 1:55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1:55 – 2:20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regelrepository (§16.3)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2:20 – 2:55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2:55 – 3:10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3:10 – 3:20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Het wijzigingsproces (§16.4) — opdracht 4 kort geïntroduceerd</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3:20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Terugwerkende kracht (§16.5) geïntroduceerd, opdracht 5 als huiswerk/vervolgsessie aankondigen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4 (wijzigingsproces modelleren in Conductus) en opdracht 5 (terugwerkende kracht) passen niet allebei volledig in dit dagdeel naast de rest van de stof. Twee opties: opdracht 4 als korte, begeleide start met afronding als huiswerk, of een kort vervolgmoment inplannen specifiek voor opdracht 5 — die opdracht verdient onverdeelde aandacht en geen haastige afronding in de laatste tien minuten.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Classificeer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Beleid</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Regel</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Beslissing</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Beleid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Regel</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Beleid (een toetsingsintentie, geen concrete regel)</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7</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Regel (met een expliciete brontraceerbaarheid — vooruitwijzing naar §16.2)</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8</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Beleid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9</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Beslissing</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Regel</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Beleid</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Beslissing (de DRD-structuur zelf)</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Regel</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Beleid (procesmatige intentie over hoe wijzigingen verlopen — grijst gebied, zie bespreekpunt)</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Beleid</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Uitspraak 14 is bewust grensgeval: het beschrijft een wijzigingsproces-intentie, wat zowel als beleid als als een procesregel gelezen kan worden. Gebruik dit om te laten zien dat de classificatie soms van het gebruiksdoel afhangt — waarvoor ga je deze uitspraak gebruiken?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Traceerbaarheid</w:t>
      </w:r>
    </w:p>
    <w:p>
      <w:pPr>
        <w:spacing w:after="160" w:line="300"/>
        <w:jc w:val="left"/>
      </w:pPr>
      <w:r>
        <w:rPr>
          <w:rFonts w:ascii="Calibri" w:cs="Calibri" w:eastAsia="Calibri" w:hAnsi="Calibri"/>
          <w:b w:val="false"/>
          <w:bCs w:val="false"/>
          <w:i w:val="false"/>
          <w:iCs w:val="false"/>
          <w:color w:val="1A1A1A"/>
          <w:sz w:val="21"/>
          <w:szCs w:val="21"/>
        </w:rPr>
        <w:t xml:space="preserve">Geen uniek antwoord. Beoordeel niet op hoeveel bronnen gevonden zijn, maar op de eerlijkheid van de matrix: een deelnemer die voor elke regel een verzonnen of te vaag artikel invult ("het reglement"), heeft de kern gemist. Een deelnemer die bij twee van de vijf regels expliciet "bron nog te bepalen" invult, heeft de kern beter begrepen.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Repository ontwerpen</w:t>
      </w:r>
    </w:p>
    <w:p>
      <w:pPr>
        <w:spacing w:after="160" w:line="300"/>
        <w:jc w:val="left"/>
      </w:pPr>
      <w:r>
        <w:rPr>
          <w:rFonts w:ascii="Calibri" w:cs="Calibri" w:eastAsia="Calibri" w:hAnsi="Calibri"/>
          <w:b w:val="false"/>
          <w:bCs w:val="false"/>
          <w:i w:val="false"/>
          <w:iCs w:val="false"/>
          <w:color w:val="1A1A1A"/>
          <w:sz w:val="21"/>
          <w:szCs w:val="21"/>
        </w:rPr>
        <w:t xml:space="preserve">Geen uniek antwoord. Controleer: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Bevat de kolommenset zowel effectieve datum als registratiedatum als aparte velden (niet samengevoegd tot één datumveld)?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er een duidelijk statusmodel met minstens vier statussen (concept, in review, vastgesteld, vervallen of vergelijkbaar)?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Legt de toelichting een concrete relatie met deel 11 (bijvoorbeeld: welke rol uit de modelleerrichtlijn is hier de "eigenaar")?</w:t>
      </w:r>
    </w:p>
    <w:p>
      <w:pPr>
        <w:spacing w:after="160" w:line="300"/>
        <w:jc w:val="left"/>
      </w:pPr>
      <w:r>
        <w:rPr>
          <w:rFonts w:ascii="Calibri" w:cs="Calibri" w:eastAsia="Calibri" w:hAnsi="Calibri"/>
          <w:b/>
          <w:bCs/>
          <w:i w:val="false"/>
          <w:iCs w:val="false"/>
          <w:color w:val="1A1A1A"/>
          <w:sz w:val="21"/>
          <w:szCs w:val="21"/>
        </w:rPr>
        <w:t xml:space="preserve">Veelgemaakte fout.</w:t>
      </w:r>
      <w:r>
        <w:rPr>
          <w:rFonts w:ascii="Calibri" w:cs="Calibri" w:eastAsia="Calibri" w:hAnsi="Calibri"/>
          <w:b w:val="false"/>
          <w:bCs w:val="false"/>
          <w:i w:val="false"/>
          <w:iCs w:val="false"/>
          <w:color w:val="1A1A1A"/>
          <w:sz w:val="21"/>
          <w:szCs w:val="21"/>
        </w:rPr>
        <w:t xml:space="preserve"> Deelnemers vergeten vaak de registratiedatum apart bij te houden naast de effectieve datum, omdat het onderscheid pas echt voelbaar wordt bij opdracht 5. Als dit gebeurt, is dat geen reden om nu te corrigeren — laat het gebeuren en verwijs er in opdracht 5 expliciet naar terug als een direct gevolg van deze ontwerpkeuze.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Wijzigingsproces modelleren</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Verwacht drie lanes of rollen (voorsteller, toetser, goedkeurder), een geautomatiseerde toetsstap (bijvoorbeeld een business rule task of service task die volledigheid/consistentie controleert vóór menselijke goedkeuring — direct voortbouwend op deel 15, §15.6), en een expliciet vrijgavemoment.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Terugwerkende kracht</w:t>
      </w:r>
    </w:p>
    <w:p>
      <w:pPr>
        <w:spacing w:after="160" w:line="300"/>
        <w:jc w:val="left"/>
      </w:pPr>
      <w:r>
        <w:rPr>
          <w:rFonts w:ascii="Calibri" w:cs="Calibri" w:eastAsia="Calibri" w:hAnsi="Calibri"/>
          <w:b w:val="false"/>
          <w:bCs w:val="false"/>
          <w:i w:val="false"/>
          <w:iCs w:val="false"/>
          <w:color w:val="1A1A1A"/>
          <w:sz w:val="21"/>
          <w:szCs w:val="21"/>
        </w:rPr>
        <w:t xml:space="preserve">Dit is met opzet de zwaarste opdracht van niveau 2. Er is geen modelantwoord — beoordeel de kwaliteit van het denkwerk, niet een uitkomst.</w:t>
      </w:r>
    </w:p>
    <w:p>
      <w:pPr>
        <w:spacing w:after="160" w:line="300"/>
        <w:jc w:val="left"/>
      </w:pPr>
      <w:r>
        <w:rPr>
          <w:rFonts w:ascii="Calibri" w:cs="Calibri" w:eastAsia="Calibri" w:hAnsi="Calibri"/>
          <w:b/>
          <w:bCs/>
          <w:i w:val="false"/>
          <w:iCs w:val="false"/>
          <w:color w:val="1A1A1A"/>
          <w:sz w:val="21"/>
          <w:szCs w:val="21"/>
        </w:rPr>
        <w:t xml:space="preserve">Verwachte richting voor vraag 1.</w:t>
      </w:r>
      <w:r>
        <w:rPr>
          <w:rFonts w:ascii="Calibri" w:cs="Calibri" w:eastAsia="Calibri" w:hAnsi="Calibri"/>
          <w:b w:val="false"/>
          <w:bCs w:val="false"/>
          <w:i w:val="false"/>
          <w:iCs w:val="false"/>
          <w:color w:val="1A1A1A"/>
          <w:sz w:val="21"/>
          <w:szCs w:val="21"/>
        </w:rPr>
        <w:t xml:space="preserve"> De populatie bestaat uit alle deelnemers wier vervroegde uittreding tussen 1 juli en 1 januari is </w:t>
      </w:r>
      <w:r>
        <w:rPr>
          <w:rFonts w:ascii="Calibri" w:cs="Calibri" w:eastAsia="Calibri" w:hAnsi="Calibri"/>
          <w:b w:val="false"/>
          <w:bCs w:val="false"/>
          <w:i/>
          <w:iCs/>
          <w:color w:val="1A1A1A"/>
          <w:sz w:val="21"/>
          <w:szCs w:val="21"/>
        </w:rPr>
        <w:t xml:space="preserve">afgehandeld</w:t>
      </w:r>
      <w:r>
        <w:rPr>
          <w:rFonts w:ascii="Calibri" w:cs="Calibri" w:eastAsia="Calibri" w:hAnsi="Calibri"/>
          <w:b w:val="false"/>
          <w:bCs w:val="false"/>
          <w:i w:val="false"/>
          <w:iCs w:val="false"/>
          <w:color w:val="1A1A1A"/>
          <w:sz w:val="21"/>
          <w:szCs w:val="21"/>
        </w:rPr>
        <w:t xml:space="preserve"> onder de oude regel. Identificeren vereist een query op afhandelingsdatum binnen die periode — wat weer veronderstelt dat die datum systematisch is vastgelegd. Een deelnemer die dit benoemt als een niet-triviale bevraging (afhankelijk van of het systeem deze data goed doorzoekbaar heeft), toont goed inzicht.</w:t>
      </w:r>
    </w:p>
    <w:p>
      <w:pPr>
        <w:spacing w:after="160" w:line="300"/>
        <w:jc w:val="left"/>
      </w:pPr>
      <w:r>
        <w:rPr>
          <w:rFonts w:ascii="Calibri" w:cs="Calibri" w:eastAsia="Calibri" w:hAnsi="Calibri"/>
          <w:b/>
          <w:bCs/>
          <w:i w:val="false"/>
          <w:iCs w:val="false"/>
          <w:color w:val="1A1A1A"/>
          <w:sz w:val="21"/>
          <w:szCs w:val="21"/>
        </w:rPr>
        <w:t xml:space="preserve">Verwachte richting voor vraag 2.</w:t>
      </w:r>
      <w:r>
        <w:rPr>
          <w:rFonts w:ascii="Calibri" w:cs="Calibri" w:eastAsia="Calibri" w:hAnsi="Calibri"/>
          <w:b w:val="false"/>
          <w:bCs w:val="false"/>
          <w:i w:val="false"/>
          <w:iCs w:val="false"/>
          <w:color w:val="1A1A1A"/>
          <w:sz w:val="21"/>
          <w:szCs w:val="21"/>
        </w:rPr>
        <w:t xml:space="preserve"> Als de repository uit opdracht 3 correct effectieve datum en registratiedatum apart bijhoudt (bitemporaliteit, §16.5), kan de oude regelversie worden opgezocht voor de herberekening. Ontbreekt die apart bijgehouden historie, dan is een reconstructie nodig — en dat is precies het pijnpunt dat §16.5 beoogt te demonstreren.</w:t>
      </w:r>
    </w:p>
    <w:p>
      <w:pPr>
        <w:spacing w:after="160" w:line="300"/>
        <w:jc w:val="left"/>
      </w:pPr>
      <w:r>
        <w:rPr>
          <w:rFonts w:ascii="Calibri" w:cs="Calibri" w:eastAsia="Calibri" w:hAnsi="Calibri"/>
          <w:b/>
          <w:bCs/>
          <w:i w:val="false"/>
          <w:iCs w:val="false"/>
          <w:color w:val="1A1A1A"/>
          <w:sz w:val="21"/>
          <w:szCs w:val="21"/>
        </w:rPr>
        <w:t xml:space="preserve">Verwachte richting voor vraag 3.</w:t>
      </w:r>
      <w:r>
        <w:rPr>
          <w:rFonts w:ascii="Calibri" w:cs="Calibri" w:eastAsia="Calibri" w:hAnsi="Calibri"/>
          <w:b w:val="false"/>
          <w:bCs w:val="false"/>
          <w:i w:val="false"/>
          <w:iCs w:val="false"/>
          <w:color w:val="1A1A1A"/>
          <w:sz w:val="21"/>
          <w:szCs w:val="21"/>
        </w:rPr>
        <w:t xml:space="preserve"> Beide: een BPMN-proces voor de communicatie (wie wordt aangeschreven, in welke volgorde, met welke termijn) én een DMN-vraagstuk (moet de herberekening zelf via de nieuwe of de oude decision-versie lopen — en hoe roep je specifiek de oude versie aan als het systeem alleen "de huidige" kent?).</w:t>
      </w:r>
    </w:p>
    <w:p>
      <w:pPr>
        <w:spacing w:after="160" w:line="300"/>
        <w:jc w:val="left"/>
      </w:pPr>
      <w:r>
        <w:rPr>
          <w:rFonts w:ascii="Calibri" w:cs="Calibri" w:eastAsia="Calibri" w:hAnsi="Calibri"/>
          <w:b/>
          <w:bCs/>
          <w:i w:val="false"/>
          <w:iCs w:val="false"/>
          <w:color w:val="1A1A1A"/>
          <w:sz w:val="21"/>
          <w:szCs w:val="21"/>
        </w:rPr>
        <w:t xml:space="preserve">Wat te doen als een tweetal vastloopt.</w:t>
      </w:r>
      <w:r>
        <w:rPr>
          <w:rFonts w:ascii="Calibri" w:cs="Calibri" w:eastAsia="Calibri" w:hAnsi="Calibri"/>
          <w:b w:val="false"/>
          <w:bCs w:val="false"/>
          <w:i w:val="false"/>
          <w:iCs w:val="false"/>
          <w:color w:val="1A1A1A"/>
          <w:sz w:val="21"/>
          <w:szCs w:val="21"/>
        </w:rPr>
        <w:t xml:space="preserve"> Dat is een geldige, zelfs gewenste uitkomst. Vraag ze te documenteren wáár ze vastlopen — dat is precies het materiaal voor vraag 4 (wat had je willen inrichten) en een goede aanleiding voor de plenaire nabespreking.</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mits de guardrails uit §16.4 concreet worden gemaakt — een goede aanleiding om terug te verwijzen naar opdracht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Verdedigbaar, met het praktische tegenargument dat opdracht 2 al liet zien: soms ontbreekt de bron simpelweg (nog), en "niet in productie totdat gevonden" kan een organisatie handelingsonbekwaam maken bij tijdsdruk. Een middenpositie: markeer de regel expliciet als onvolledig getraceerd, blokkeer niet automatisch.</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en deels waar — een goede aanleiding om te bespreken dat de kosten van bitemporaliteit vooraf klein zijn (een paar extra kolommen) vergeleken met de kosten achteraf (reconstructie onder tijdsdruk), zoals opdracht 5 net heeft laten zien.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Nuance: shadow runs kosten tijd en capaciteit; voor een kleine, lage-impact wijziging (bijvoorbeeld een tekstuele correctie zonder logicawijziging) is de investering mogelijk niet in verhouding. Verwijs naar het risicoproportionaliteitsprincipe dat ook in §16.4 al impliciet aanwezig was.</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Beleid, beslissing en regel door elkaar gebruiken</w:t>
      </w:r>
      <w:r>
        <w:rPr>
          <w:rFonts w:ascii="Calibri" w:cs="Calibri" w:eastAsia="Calibri" w:hAnsi="Calibri"/>
          <w:b w:val="false"/>
          <w:bCs w:val="false"/>
          <w:i w:val="false"/>
          <w:iCs w:val="false"/>
          <w:color w:val="1A1A1A"/>
          <w:sz w:val="21"/>
          <w:szCs w:val="21"/>
        </w:rPr>
        <w:t xml:space="preserve"> zonder het effect op eigenaarschap te beseffen — de kern van §16.1.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Traceerbaarheid vervalsen</w:t>
      </w:r>
      <w:r>
        <w:rPr>
          <w:rFonts w:ascii="Calibri" w:cs="Calibri" w:eastAsia="Calibri" w:hAnsi="Calibri"/>
          <w:b w:val="false"/>
          <w:bCs w:val="false"/>
          <w:i w:val="false"/>
          <w:iCs w:val="false"/>
          <w:color w:val="1A1A1A"/>
          <w:sz w:val="21"/>
          <w:szCs w:val="21"/>
        </w:rPr>
        <w:t xml:space="preserve"> in plaats van eerlijk "onbekend" te markeren — zie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Effectieve datum en registratiedatum samenvoegen tot één veld</w:t>
      </w:r>
      <w:r>
        <w:rPr>
          <w:rFonts w:ascii="Calibri" w:cs="Calibri" w:eastAsia="Calibri" w:hAnsi="Calibri"/>
          <w:b w:val="false"/>
          <w:bCs w:val="false"/>
          <w:i w:val="false"/>
          <w:iCs w:val="false"/>
          <w:color w:val="1A1A1A"/>
          <w:sz w:val="21"/>
          <w:szCs w:val="21"/>
        </w:rPr>
        <w:t xml:space="preserve"> in het repositorydesign — de veelgemaakte fout bij opdracht 3 die zich in opdracht 5 wreekt.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Opdracht 5 als oplosbaar probleem behandelen</w:t>
      </w:r>
      <w:r>
        <w:rPr>
          <w:rFonts w:ascii="Calibri" w:cs="Calibri" w:eastAsia="Calibri" w:hAnsi="Calibri"/>
          <w:b w:val="false"/>
          <w:bCs w:val="false"/>
          <w:i w:val="false"/>
          <w:iCs w:val="false"/>
          <w:color w:val="1A1A1A"/>
          <w:sz w:val="21"/>
          <w:szCs w:val="21"/>
        </w:rPr>
        <w:t xml:space="preserve"> in plaats van als een afweging met blijvende risico's — communiceer dit vooraf.</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Classificatie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Verwart de drie niveaus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Classificeert correct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en beargumenteert grensgevallen (zoals opdracht 1.14)</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Traceerbaarheid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Verzint of vermijdt de vraag naar de bron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Documenteert bronnen waar aanwezig</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Documenteert eerlijk, inclusief ontbrekende bronnen als expliciete bevinding</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Repository</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apart effectieve/registratiedatum-onderscheid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 aanwezig, verder basaal</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 aanwezig, statusmodel en eigenaarschap concreet gekoppeld aan deel 11</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Terugwerkende kracht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Geeft een te simpel of ontwijkend antwoord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Benoemt de kernproblemen, oplossing gedeeltelijk</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Benoemt de kernproblemen, expliciteert waar het model tekortschiet en wat nodig zou zijn geweest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voor opdracht 4, de beslistabellen uit deel 15 van elke deelnemer beschikbaar, voldoende tijd (eventueel een apart vervolgmoment) voor opdracht 5.</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16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2026-08-17T15:44:30.482Z</dcterms:created>
  <dcterms:modified xsi:type="dcterms:W3CDTF">2026-08-17T15:44:30.483Z</dcterms:modified>
</cp:coreProperties>
</file>

<file path=docProps/custom.xml><?xml version="1.0" encoding="utf-8"?>
<Properties xmlns="http://schemas.openxmlformats.org/officeDocument/2006/custom-properties" xmlns:vt="http://schemas.openxmlformats.org/officeDocument/2006/docPropsVTypes"/>
</file>