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17</w:t>
      </w:r>
    </w:p>
    <w:p>
      <w:pPr>
        <w:spacing w:after="300"/>
      </w:pPr>
      <w:r>
        <w:rPr>
          <w:rFonts w:ascii="Calibri" w:cs="Calibri" w:eastAsia="Calibri" w:hAnsi="Calibri"/>
          <w:b/>
          <w:bCs/>
          <w:color w:val="14213D"/>
          <w:sz w:val="32"/>
          <w:szCs w:val="32"/>
        </w:rPr>
        <w:t xml:space="preserve">Docentenhandleiding — CMMN gevorderd</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Terugkeer naar CMMN op gevorderd niveau, na twee delen BPMN (13-14) en twee dagdelen DMN (15) en een deel regelbeheer (16). Verwacht dat deelnemers een lichte omschakeling nodig hebben — CMMN denkt fundamenteel anders (niveau 1, deel 7, §7.1), en dat moet weer even wakker geschud worden.</w:t>
      </w:r>
    </w:p>
    <w:p>
      <w:pPr>
        <w:spacing w:after="160" w:line="300"/>
        <w:jc w:val="left"/>
      </w:pPr>
      <w:r>
        <w:rPr>
          <w:rFonts w:ascii="Calibri" w:cs="Calibri" w:eastAsia="Calibri" w:hAnsi="Calibri"/>
          <w:b w:val="false"/>
          <w:bCs w:val="false"/>
          <w:i w:val="false"/>
          <w:iCs w:val="false"/>
          <w:color w:val="1A1A1A"/>
          <w:sz w:val="21"/>
          <w:szCs w:val="21"/>
        </w:rPr>
        <w:t xml:space="preserve">Kernboodschap: opdracht 5 (hoeveel leg je vast) is het belangrijkste gesprek van dit deel en van heel het CMMN-traject in niveau 2. Reserveer hier bewust tijd voor en laat het niet verdrukken door de eerdere, meer technische opdrachten. De niveau 1-reflex om door te slaan naar "strak" (genoemd in de opzet van dit curriculum) is bij ervaren BPMN-modelleurs vaak nog sterker dan bij complete beginners — zij hebben meer routine in het vastleggen van paden.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16, terug naar CMMN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Levenscycli volledig (§17.1)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17.1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 in detail (§17.2)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17.2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 – 1:35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1:35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Plan fragments en planning table (§17.3)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17.3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Ontwerpen voor autonomie (§17.4)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 reserveer dit ruim, niet inkorten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3:50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Patronen (§17.5) kort, casepatronen benoemen, vooruitblik naar opdracht 4/6 als vervolgwerk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4 (het volledige casemodel) en opdracht 6 (indicatoren) passen niet meer in dit dagdeel naast opdracht 5, die hierboven bewust prioriteit krijgt. Dit zijn geen losse restopdrachten: ze zijn expliciet gemarkeerd als huiswerk in het werkboek, met een vaste inleverdatum vóór deel 18. Behandel §17.6 (meten aan cases) daarom kort mondeling aan het eind van dit dagdeel, zodat opdracht 6 zelfstandig te maken is zonder dat de stof onbehandeld blijft.</w:t>
      </w:r>
    </w:p>
    <w:p>
      <w:pPr>
        <w:spacing w:after="160" w:line="300"/>
        <w:jc w:val="left"/>
      </w:pPr>
      <w:r>
        <w:rPr>
          <w:rFonts w:ascii="Calibri" w:cs="Calibri" w:eastAsia="Calibri" w:hAnsi="Calibri"/>
          <w:b/>
          <w:bCs/>
          <w:i w:val="false"/>
          <w:iCs w:val="false"/>
          <w:color w:val="1A1A1A"/>
          <w:sz w:val="21"/>
          <w:szCs w:val="21"/>
        </w:rPr>
        <w:t xml:space="preserve">Sluit de loop in deel 18.</w:t>
      </w:r>
      <w:r>
        <w:rPr>
          <w:rFonts w:ascii="Calibri" w:cs="Calibri" w:eastAsia="Calibri" w:hAnsi="Calibri"/>
          <w:b w:val="false"/>
          <w:bCs w:val="false"/>
          <w:i w:val="false"/>
          <w:iCs w:val="false"/>
          <w:color w:val="1A1A1A"/>
          <w:sz w:val="21"/>
          <w:szCs w:val="21"/>
        </w:rPr>
        <w:t xml:space="preserve"> De eerste twintig minuten van deel 18 zijn gereserveerd voor peer feedback op beide inleveringen — zie de tijdschema-opening van deel 18's docentenhandleiding. Zonder dat moment leveren deelnemers werk in dat nergens op landt; plan dit dus niet als vrijblijvend.</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Levenscyclus volgen</w:t>
      </w:r>
    </w:p>
    <w:p>
      <w:pPr>
        <w:spacing w:after="160" w:line="300"/>
        <w:jc w:val="left"/>
      </w:pPr>
      <w:r>
        <w:rPr>
          <w:rFonts w:ascii="Calibri" w:cs="Calibri" w:eastAsia="Calibri" w:hAnsi="Calibri"/>
          <w:b w:val="false"/>
          <w:bCs w:val="false"/>
          <w:i w:val="false"/>
          <w:iCs w:val="false"/>
          <w:color w:val="1A1A1A"/>
          <w:sz w:val="21"/>
          <w:szCs w:val="21"/>
        </w:rPr>
        <w:t xml:space="preserve">Afhankelijk van de aangeleverde tijdlijn. Kernpunt: taak B, die non-required is en nooit gestart wordt, blijft </w:t>
      </w:r>
      <w:r>
        <w:rPr>
          <w:rFonts w:ascii="Calibri" w:cs="Calibri" w:eastAsia="Calibri" w:hAnsi="Calibri"/>
          <w:b w:val="false"/>
          <w:bCs w:val="false"/>
          <w:i/>
          <w:iCs/>
          <w:color w:val="1A1A1A"/>
          <w:sz w:val="21"/>
          <w:szCs w:val="21"/>
        </w:rPr>
        <w:t xml:space="preserve">Available</w:t>
      </w:r>
      <w:r>
        <w:rPr>
          <w:rFonts w:ascii="Calibri" w:cs="Calibri" w:eastAsia="Calibri" w:hAnsi="Calibri"/>
          <w:b w:val="false"/>
          <w:bCs w:val="false"/>
          <w:i w:val="false"/>
          <w:iCs w:val="false"/>
          <w:color w:val="1A1A1A"/>
          <w:sz w:val="21"/>
          <w:szCs w:val="21"/>
        </w:rPr>
        <w:t xml:space="preserve"> (of </w:t>
      </w:r>
      <w:r>
        <w:rPr>
          <w:rFonts w:ascii="Calibri" w:cs="Calibri" w:eastAsia="Calibri" w:hAnsi="Calibri"/>
          <w:b w:val="false"/>
          <w:bCs w:val="false"/>
          <w:i/>
          <w:iCs/>
          <w:color w:val="1A1A1A"/>
          <w:sz w:val="21"/>
          <w:szCs w:val="21"/>
        </w:rPr>
        <w:t xml:space="preserve">Enabled</w:t>
      </w:r>
      <w:r>
        <w:rPr>
          <w:rFonts w:ascii="Calibri" w:cs="Calibri" w:eastAsia="Calibri" w:hAnsi="Calibri"/>
          <w:b w:val="false"/>
          <w:bCs w:val="false"/>
          <w:i w:val="false"/>
          <w:iCs w:val="false"/>
          <w:color w:val="1A1A1A"/>
          <w:sz w:val="21"/>
          <w:szCs w:val="21"/>
        </w:rPr>
        <w:t xml:space="preserve">, afhankelijk van of het entry criterion al dan niet vervuld raakte) tot de case wordt afgesloten — controleer of deelnemers begrijpen dat een niet-verplicht element niet naar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hoeft om de case te laten afsluiten (direct gekoppeld aan de decorator auto-complete uit niveau 1, deel 7, §7.6).</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Sentry-ontwerp</w:t>
      </w:r>
    </w:p>
    <w:p>
      <w:pPr>
        <w:spacing w:after="160" w:line="300"/>
        <w:jc w:val="left"/>
      </w:pPr>
      <w:r>
        <w:rPr>
          <w:rFonts w:ascii="Calibri" w:cs="Calibri" w:eastAsia="Calibri" w:hAnsi="Calibri"/>
          <w:b w:val="false"/>
          <w:bCs w:val="false"/>
          <w:i w:val="false"/>
          <w:iCs w:val="false"/>
          <w:color w:val="1A1A1A"/>
          <w:sz w:val="21"/>
          <w:szCs w:val="21"/>
        </w:rPr>
        <w:t xml:space="preserve">Verwachte kern per situatie: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Twee on-parts (taak-voltooiing + case file item-conditie via if-part), samengesteld.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Dit is een decorator (auto-complete) op de stage, geen sentry op individuele taken — een goed moment om het onderscheid tussen sentry en decorator (niveau 1, deel 7, §7.6) te herbevestigen.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on-part (milestone-transitie naar </w:t>
      </w:r>
      <w:r>
        <w:rPr>
          <w:rFonts w:ascii="Calibri" w:cs="Calibri" w:eastAsia="Calibri" w:hAnsi="Calibri"/>
          <w:b w:val="false"/>
          <w:bCs w:val="false"/>
          <w:i/>
          <w:iCs/>
          <w:color w:val="1A1A1A"/>
          <w:sz w:val="21"/>
          <w:szCs w:val="21"/>
        </w:rPr>
        <w:t xml:space="preserve">Completed</w:t>
      </w:r>
      <w:r>
        <w:rPr>
          <w:rFonts w:ascii="Calibri" w:cs="Calibri" w:eastAsia="Calibri" w:hAnsi="Calibri"/>
          <w:b w:val="false"/>
          <w:bCs w:val="false"/>
          <w:i w:val="false"/>
          <w:iCs w:val="false"/>
          <w:color w:val="1A1A1A"/>
          <w:sz w:val="21"/>
          <w:szCs w:val="21"/>
        </w:rPr>
        <w:t xml:space="preserve">) als entry criterion voor het discretionary item.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valkuil expliciet oplossen: een simpele "case file item gewijzigd"-sentry vuurt inderdaad bij elke wijziging; een oplossing vereist een aanvullende if-part die controleert of de gewenste toestand nog niet eerder is bereikt, of een ontwerp waarbij de taak na eerste voltooiing niet opnieuw wordt aangeboden tenzij expliciet gewenst (repetition-decorator, indien dat wél de bedoeling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Vind de fout</w:t>
      </w:r>
    </w:p>
    <w:p>
      <w:pPr>
        <w:spacing w:after="160" w:line="300"/>
        <w:jc w:val="left"/>
      </w:pPr>
      <w:r>
        <w:rPr>
          <w:rFonts w:ascii="Calibri" w:cs="Calibri" w:eastAsia="Calibri" w:hAnsi="Calibri"/>
          <w:b w:val="false"/>
          <w:bCs w:val="false"/>
          <w:i w:val="false"/>
          <w:iCs w:val="false"/>
          <w:color w:val="1A1A1A"/>
          <w:sz w:val="21"/>
          <w:szCs w:val="21"/>
        </w:rPr>
        <w:t xml:space="preserve">Afhankelijk van de aangeleverde modellen. Kernonderscheid dat deelnemers moeten maken: een sentry die nooit vuurt is meestal een </w:t>
      </w:r>
      <w:r>
        <w:rPr>
          <w:rFonts w:ascii="Calibri" w:cs="Calibri" w:eastAsia="Calibri" w:hAnsi="Calibri"/>
          <w:b/>
          <w:bCs/>
          <w:i w:val="false"/>
          <w:iCs w:val="false"/>
          <w:color w:val="1A1A1A"/>
          <w:sz w:val="21"/>
          <w:szCs w:val="21"/>
        </w:rPr>
        <w:t xml:space="preserve">referentiefout</w:t>
      </w:r>
      <w:r>
        <w:rPr>
          <w:rFonts w:ascii="Calibri" w:cs="Calibri" w:eastAsia="Calibri" w:hAnsi="Calibri"/>
          <w:b w:val="false"/>
          <w:bCs w:val="false"/>
          <w:i w:val="false"/>
          <w:iCs w:val="false"/>
          <w:color w:val="1A1A1A"/>
          <w:sz w:val="21"/>
          <w:szCs w:val="21"/>
        </w:rPr>
        <w:t xml:space="preserve"> (verwijst naar het verkeerde element); een sentry die te vroeg vuurt is meestal een </w:t>
      </w:r>
      <w:r>
        <w:rPr>
          <w:rFonts w:ascii="Calibri" w:cs="Calibri" w:eastAsia="Calibri" w:hAnsi="Calibri"/>
          <w:b/>
          <w:bCs/>
          <w:i w:val="false"/>
          <w:iCs w:val="false"/>
          <w:color w:val="1A1A1A"/>
          <w:sz w:val="21"/>
          <w:szCs w:val="21"/>
        </w:rPr>
        <w:t xml:space="preserve">te ruime if-part</w:t>
      </w:r>
      <w:r>
        <w:rPr>
          <w:rFonts w:ascii="Calibri" w:cs="Calibri" w:eastAsia="Calibri" w:hAnsi="Calibri"/>
          <w:b w:val="false"/>
          <w:bCs w:val="false"/>
          <w:i w:val="false"/>
          <w:iCs w:val="false"/>
          <w:color w:val="1A1A1A"/>
          <w:sz w:val="21"/>
          <w:szCs w:val="21"/>
        </w:rPr>
        <w:t xml:space="preserve">; een sentry die te vaak vuurt is meestal een </w:t>
      </w:r>
      <w:r>
        <w:rPr>
          <w:rFonts w:ascii="Calibri" w:cs="Calibri" w:eastAsia="Calibri" w:hAnsi="Calibri"/>
          <w:b/>
          <w:bCs/>
          <w:i w:val="false"/>
          <w:iCs w:val="false"/>
          <w:color w:val="1A1A1A"/>
          <w:sz w:val="21"/>
          <w:szCs w:val="21"/>
        </w:rPr>
        <w:t xml:space="preserve">ontbrekende beperking op de transitie</w:t>
      </w:r>
      <w:r>
        <w:rPr>
          <w:rFonts w:ascii="Calibri" w:cs="Calibri" w:eastAsia="Calibri" w:hAnsi="Calibri"/>
          <w:b w:val="false"/>
          <w:bCs w:val="false"/>
          <w:i w:val="false"/>
          <w:iCs w:val="false"/>
          <w:color w:val="1A1A1A"/>
          <w:sz w:val="21"/>
          <w:szCs w:val="21"/>
        </w:rPr>
        <w:t xml:space="preserve"> (reageert op elke wijziging in plaats van een specifieke).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Casemodel Bijzondere Situaties</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Beoordeel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de plan fragments daadwerkelijk herbruikbare, samenhangende blokken (niet gewoon twee losse taken die toevallig samen worden aangeboden)?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autorisatietoelichting concreet (een rol uit deel 11's richtlijn, niet "de behandelaar" in generieke zin)?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Documenteren de sentry-toelichtingen daadwerkelijk de transitie, niet alleen de toestand — dit is het meest directe toepassingspunt van §17.1.</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Hoeveel leg je vast</w:t>
      </w:r>
    </w:p>
    <w:p>
      <w:pPr>
        <w:spacing w:after="160" w:line="300"/>
        <w:jc w:val="left"/>
      </w:pPr>
      <w:r>
        <w:rPr>
          <w:rFonts w:ascii="Calibri" w:cs="Calibri" w:eastAsia="Calibri" w:hAnsi="Calibri"/>
          <w:b w:val="false"/>
          <w:bCs w:val="false"/>
          <w:i w:val="false"/>
          <w:iCs w:val="false"/>
          <w:color w:val="1A1A1A"/>
          <w:sz w:val="21"/>
          <w:szCs w:val="21"/>
        </w:rPr>
        <w:t xml:space="preserve">Geen uniek antwoord — dit is het belangrijkste gesprek van het deel.</w:t>
      </w:r>
    </w:p>
    <w:p>
      <w:pPr>
        <w:spacing w:after="160" w:line="300"/>
        <w:jc w:val="left"/>
      </w:pPr>
      <w:r>
        <w:rPr>
          <w:rFonts w:ascii="Calibri" w:cs="Calibri" w:eastAsia="Calibri" w:hAnsi="Calibri"/>
          <w:b/>
          <w:bCs/>
          <w:i w:val="false"/>
          <w:iCs w:val="false"/>
          <w:color w:val="1A1A1A"/>
          <w:sz w:val="21"/>
          <w:szCs w:val="21"/>
        </w:rPr>
        <w:t xml:space="preserve">Verwachte punten voor de strakke variant.</w:t>
      </w:r>
      <w:r>
        <w:rPr>
          <w:rFonts w:ascii="Calibri" w:cs="Calibri" w:eastAsia="Calibri" w:hAnsi="Calibri"/>
          <w:b w:val="false"/>
          <w:bCs w:val="false"/>
          <w:i w:val="false"/>
          <w:iCs w:val="false"/>
          <w:color w:val="1A1A1A"/>
          <w:sz w:val="21"/>
          <w:szCs w:val="21"/>
        </w:rPr>
        <w:t xml:space="preserve"> Wint: voorspelbaarheid, makkelijker te auditen, minder kans op inconsistente behandeling tussen behandelaars. Verliest: behandelaars omzeilen het systeem bij afwijkende gevallen (direct gekoppeld aan het antipatroon uit niveau 1, deel 8), minder ruimte voor vakinhoudelijk maatwerk dat nu juist bij Bijzondere Situaties het hele punt is.</w:t>
      </w:r>
    </w:p>
    <w:p>
      <w:pPr>
        <w:spacing w:after="160" w:line="300"/>
        <w:jc w:val="left"/>
      </w:pPr>
      <w:r>
        <w:rPr>
          <w:rFonts w:ascii="Calibri" w:cs="Calibri" w:eastAsia="Calibri" w:hAnsi="Calibri"/>
          <w:b/>
          <w:bCs/>
          <w:i w:val="false"/>
          <w:iCs w:val="false"/>
          <w:color w:val="1A1A1A"/>
          <w:sz w:val="21"/>
          <w:szCs w:val="21"/>
        </w:rPr>
        <w:t xml:space="preserve">Verwachte punten voor de ruime variant.</w:t>
      </w:r>
      <w:r>
        <w:rPr>
          <w:rFonts w:ascii="Calibri" w:cs="Calibri" w:eastAsia="Calibri" w:hAnsi="Calibri"/>
          <w:b w:val="false"/>
          <w:bCs w:val="false"/>
          <w:i w:val="false"/>
          <w:iCs w:val="false"/>
          <w:color w:val="1A1A1A"/>
          <w:sz w:val="21"/>
          <w:szCs w:val="21"/>
        </w:rPr>
        <w:t xml:space="preserve"> Wint: ruimte voor vakinhoudelijk oordeel, sneller aan te passen aan een individueel geval. Verliest: moeilijker te auditen, risico op inconsistente behandeling, minder sturingsinformatie voor de proceseigenaar.</w:t>
      </w:r>
    </w:p>
    <w:p>
      <w:pPr>
        <w:spacing w:after="160" w:line="300"/>
        <w:jc w:val="left"/>
      </w:pPr>
      <w:r>
        <w:rPr>
          <w:rFonts w:ascii="Calibri" w:cs="Calibri" w:eastAsia="Calibri" w:hAnsi="Calibri"/>
          <w:b/>
          <w:bCs/>
          <w:i w:val="false"/>
          <w:iCs w:val="false"/>
          <w:color w:val="1A1A1A"/>
          <w:sz w:val="21"/>
          <w:szCs w:val="21"/>
        </w:rPr>
        <w:t xml:space="preserve">Verwachte conclusie voor vraag 3.</w:t>
      </w:r>
      <w:r>
        <w:rPr>
          <w:rFonts w:ascii="Calibri" w:cs="Calibri" w:eastAsia="Calibri" w:hAnsi="Calibri"/>
          <w:b w:val="false"/>
          <w:bCs w:val="false"/>
          <w:i w:val="false"/>
          <w:iCs w:val="false"/>
          <w:color w:val="1A1A1A"/>
          <w:sz w:val="21"/>
          <w:szCs w:val="21"/>
        </w:rPr>
        <w:t xml:space="preserve"> Voor Bijzondere Situaties, met juridische lading (echtscheiding, medische indicaties), is enige mate van "ruim" verdedigbaar vanwege de aard van het werk — maar de traceerbaarheid (verbinding met deel 16, §16.2) blijft nodig, ook binnen een ruime variant. Een goed antwoord onderscheidt "ruim in wat er gebeurt" van "streng in wat er wordt vastgelegd over wat er gebeurde" — dit zijn twee aparte assen, geen één-dimensionale keuze.</w:t>
      </w:r>
    </w:p>
    <w:p>
      <w:pPr>
        <w:spacing w:after="160" w:line="300"/>
        <w:jc w:val="left"/>
      </w:pPr>
      <w:r>
        <w:rPr>
          <w:rFonts w:ascii="Calibri" w:cs="Calibri" w:eastAsia="Calibri" w:hAnsi="Calibri"/>
          <w:b/>
          <w:bCs/>
          <w:i w:val="false"/>
          <w:iCs w:val="false"/>
          <w:color w:val="1A1A1A"/>
          <w:sz w:val="21"/>
          <w:szCs w:val="21"/>
        </w:rPr>
        <w:t xml:space="preserve">Signaal om te herkennen.</w:t>
      </w:r>
      <w:r>
        <w:rPr>
          <w:rFonts w:ascii="Calibri" w:cs="Calibri" w:eastAsia="Calibri" w:hAnsi="Calibri"/>
          <w:b w:val="false"/>
          <w:bCs w:val="false"/>
          <w:i w:val="false"/>
          <w:iCs w:val="false"/>
          <w:color w:val="1A1A1A"/>
          <w:sz w:val="21"/>
          <w:szCs w:val="21"/>
        </w:rPr>
        <w:t xml:space="preserve"> Tweetallen die snel tot een gezamenlijk, ongenuanceerd antwoord komen ("we kiezen voor ruim, klaar") hebben het gesprek waarschijnlijk te snel afgerond. Vraag door naar de traceerbaarheidsvraag als ze die niet zelf aansnijden.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Indicatoren voor cases</w:t>
      </w:r>
    </w:p>
    <w:p>
      <w:pPr>
        <w:spacing w:after="160" w:line="300"/>
        <w:jc w:val="left"/>
      </w:pPr>
      <w:r>
        <w:rPr>
          <w:rFonts w:ascii="Calibri" w:cs="Calibri" w:eastAsia="Calibri" w:hAnsi="Calibri"/>
          <w:b w:val="false"/>
          <w:bCs w:val="false"/>
          <w:i w:val="false"/>
          <w:iCs w:val="false"/>
          <w:color w:val="1A1A1A"/>
          <w:sz w:val="21"/>
          <w:szCs w:val="21"/>
        </w:rPr>
        <w:t xml:space="preserve">Voorbeelduitwerking: doorlooptijd tot milestone "oorzaak vastgesteld" (norm bijvoorbeeld 10 werkdagen), gemiddeld aantal open dossiers per behandelaar (workload), percentage klachten waarbij "juridisch vooronderzoek" wordt ingezet (escalatie-indicator, met een trend over tijd relevanter dan een absoluut getal). Beoordeel of elke indicator daadwerkelijk werkt zonder een vast pad te veronderstellen — een indicator die impliciet een vaste stappenvolgorde aanneemt, hoort niet in dit werkboek thuis.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en de kern van §17.4 — een goede terugverwijzing naar opdracht 5.</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Interessante parallel, gedeeltelijk waar: autorisatie op plan fragments regelt wie mág, functiescheiding regelt wie tegelijk twee rollen niet mag combineren — verwant maar niet identiek. Laat deelnemers het verschil zelf verwoorden.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sluit aan bij §17.6's slotzin. Een goede aanleiding om te benadrukken dat "moeilijker te sturen" niet betekent "niet te sturen" — capaciteit en discretie-gebruik blijven stuurbaar.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laat deelnemers een tegenvoorbeeld proberen te vinden — een casetype dat in geen van de vijf patronen past. Als de zaal er geen vindt, versterkt dat de stelling; vindt de zaal er wel een, dan is dat een waardevolle aanvulling op §17.5.</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Sentries ontwerpen op basis van toestand in plaats van transitie</w:t>
      </w:r>
      <w:r>
        <w:rPr>
          <w:rFonts w:ascii="Calibri" w:cs="Calibri" w:eastAsia="Calibri" w:hAnsi="Calibri"/>
          <w:b w:val="false"/>
          <w:bCs w:val="false"/>
          <w:i w:val="false"/>
          <w:iCs w:val="false"/>
          <w:color w:val="1A1A1A"/>
          <w:sz w:val="21"/>
          <w:szCs w:val="21"/>
        </w:rPr>
        <w:t xml:space="preserve"> — de kernboodschap van §17.1, die zich in opdracht 2 en 3 direct manifesteert.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Plan fragments behandelen als losse taken zonder samenhang</w:t>
      </w:r>
      <w:r>
        <w:rPr>
          <w:rFonts w:ascii="Calibri" w:cs="Calibri" w:eastAsia="Calibri" w:hAnsi="Calibri"/>
          <w:b w:val="false"/>
          <w:bCs w:val="false"/>
          <w:i w:val="false"/>
          <w:iCs w:val="false"/>
          <w:color w:val="1A1A1A"/>
          <w:sz w:val="21"/>
          <w:szCs w:val="21"/>
        </w:rPr>
        <w:t xml:space="preserve"> — zie opdracht 4's beoordelingscriterium.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5 te snel afronden zonder de traceerbaarheidsvraag te stellen</w:t>
      </w:r>
      <w:r>
        <w:rPr>
          <w:rFonts w:ascii="Calibri" w:cs="Calibri" w:eastAsia="Calibri" w:hAnsi="Calibri"/>
          <w:b w:val="false"/>
          <w:bCs w:val="false"/>
          <w:i w:val="false"/>
          <w:iCs w:val="false"/>
          <w:color w:val="1A1A1A"/>
          <w:sz w:val="21"/>
          <w:szCs w:val="21"/>
        </w:rPr>
        <w:t xml:space="preserve"> — zie het signaal hierboven.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Indicatoren ontwerpen die impliciet een vast pad veronderstellen</w:t>
      </w:r>
      <w:r>
        <w:rPr>
          <w:rFonts w:ascii="Calibri" w:cs="Calibri" w:eastAsia="Calibri" w:hAnsi="Calibri"/>
          <w:b w:val="false"/>
          <w:bCs w:val="false"/>
          <w:i w:val="false"/>
          <w:iCs w:val="false"/>
          <w:color w:val="1A1A1A"/>
          <w:sz w:val="21"/>
          <w:szCs w:val="21"/>
        </w:rPr>
        <w:t xml:space="preserve"> — zie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Levenscyclus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Verwart toestand met transitie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het onderscheid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Documenteert transities expliciet in eigen sentry-ontwerp</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 vuren onbedoeld nooit/te vroeg/te vaak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Anticipeert op de valkuilen uit §17.2 zonder ze aangewezen te krijgen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Plan fragments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Losse taken zonder samenhang of autorisatie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Samenhangende fragments, summiere autorisatie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Samenhangende fragments met concrete, aan deel 11 gekoppelde autorisatie</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Autonomie-afweging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zonder de kosten van de andere kant te benoemen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Benoemt kosten van beide varianten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"ruim in uitvoering" van "streng in vastlegging" als aparte assen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drie casemodellen met ingebouwde sentry-fouten voor opdracht 3 als uitgereikt document, de tijdlijn voor opdracht 1 als uitgereikt document.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2026-08-17T15:44:31.485Z</dcterms:created>
  <dcterms:modified xsi:type="dcterms:W3CDTF">2026-08-17T15:44:31.486Z</dcterms:modified>
</cp:coreProperties>
</file>

<file path=docProps/custom.xml><?xml version="1.0" encoding="utf-8"?>
<Properties xmlns="http://schemas.openxmlformats.org/officeDocument/2006/custom-properties" xmlns:vt="http://schemas.openxmlformats.org/officeDocument/2006/docPropsVTypes"/>
</file>