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2 — Praktijk · Deel 17</w:t>
      </w:r>
    </w:p>
    <w:p>
      <w:pPr>
        <w:spacing w:after="300"/>
      </w:pPr>
      <w:r>
        <w:rPr>
          <w:rFonts w:ascii="Calibri" w:cs="Calibri" w:eastAsia="Calibri" w:hAnsi="Calibri"/>
          <w:b/>
          <w:bCs/>
          <w:color w:val="14213D"/>
          <w:sz w:val="34"/>
          <w:szCs w:val="34"/>
        </w:rPr>
        <w:t xml:space="preserve">Werkboek — CMMN gevorderd</w:t>
      </w:r>
    </w:p>
    <w:p>
      <w:pPr>
        <w:spacing w:after="160" w:line="300"/>
        <w:jc w:val="left"/>
      </w:pPr>
      <w:r>
        <w:rPr>
          <w:rFonts w:ascii="Calibri" w:cs="Calibri" w:eastAsia="Calibri" w:hAnsi="Calibri"/>
          <w:b w:val="false"/>
          <w:bCs w:val="false"/>
          <w:i w:val="false"/>
          <w:iCs w:val="false"/>
          <w:color w:val="1A1A1A"/>
          <w:sz w:val="21"/>
          <w:szCs w:val="21"/>
        </w:rPr>
        <w:t xml:space="preserve">Werk de opdrachten in volgorde. Opdracht 1 individueel, opdracht 2 individueel, opdracht 3 in tweetallen, opdracht 5 (het kerngesprek van dit deel) in tweetallen, opdracht 7 plenair — dit gebeurt allemaal in het dagdeel zelf. Opdracht 4 (kerndeliverable) en opdracht 6 (deliverable) passen niet meer in dit dagdeel en zijn </w:t>
      </w:r>
      <w:r>
        <w:rPr>
          <w:rFonts w:ascii="Calibri" w:cs="Calibri" w:eastAsia="Calibri" w:hAnsi="Calibri"/>
          <w:b/>
          <w:bCs/>
          <w:i w:val="false"/>
          <w:iCs w:val="false"/>
          <w:color w:val="1A1A1A"/>
          <w:sz w:val="21"/>
          <w:szCs w:val="21"/>
        </w:rPr>
        <w:t xml:space="preserve">huiswerk</w:t>
      </w:r>
      <w:r>
        <w:rPr>
          <w:rFonts w:ascii="Calibri" w:cs="Calibri" w:eastAsia="Calibri" w:hAnsi="Calibri"/>
          <w:b w:val="false"/>
          <w:bCs w:val="false"/>
          <w:i w:val="false"/>
          <w:iCs w:val="false"/>
          <w:color w:val="1A1A1A"/>
          <w:sz w:val="21"/>
          <w:szCs w:val="21"/>
        </w:rPr>
        <w:t xml:space="preserve">: maak ze zelfstandig af vóór de start van deel 18. Je levert beide in; de eerste twintig minuten van deel 18 zijn gereserveerd voor peer feedback erop, dus kom met een afgeronde versie.</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Levenscyclus volgen</w:t>
      </w:r>
    </w:p>
    <w:p>
      <w:pPr>
        <w:spacing w:after="160" w:line="300"/>
        <w:jc w:val="left"/>
      </w:pPr>
      <w:r>
        <w:rPr>
          <w:rFonts w:ascii="Calibri" w:cs="Calibri" w:eastAsia="Calibri" w:hAnsi="Calibri"/>
          <w:b w:val="false"/>
          <w:bCs w:val="false"/>
          <w:i w:val="false"/>
          <w:iCs w:val="false"/>
          <w:color w:val="1A1A1A"/>
          <w:sz w:val="21"/>
          <w:szCs w:val="21"/>
        </w:rPr>
        <w:t xml:space="preserve">Gegeven een reeks gebeurtenissen voor één case (aangeleverd als tijdlijn: "Case geopend", "Taak A entry criterion vervuld", "Taak A gestart door behandelaar", "Milestone X bereikt", "Taak B (non-required) nooit gestart", "Case afgesloten"): bepaal voor elk element (de case zelf, taak A, taak B, milestone X) in welke toestand het zich bevindt op vijf gegeven tijdstippen.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Sentry-ontwerp</w:t>
      </w:r>
    </w:p>
    <w:p>
      <w:pPr>
        <w:spacing w:after="160" w:line="300"/>
        <w:jc w:val="left"/>
      </w:pPr>
      <w:r>
        <w:rPr>
          <w:rFonts w:ascii="Calibri" w:cs="Calibri" w:eastAsia="Calibri" w:hAnsi="Calibri"/>
          <w:b w:val="false"/>
          <w:bCs w:val="false"/>
          <w:i w:val="false"/>
          <w:iCs w:val="false"/>
          <w:color w:val="1A1A1A"/>
          <w:sz w:val="21"/>
          <w:szCs w:val="21"/>
        </w:rPr>
        <w:t xml:space="preserve">Ontwerp voor vier situaties een sentry met de juiste on-part(en) en if-part: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taak wordt pas beschikbaar zodra zowel het dossier is opgevraagd (taak voltooid) als de klacht als "complex" is gemarkeerd (case file item).</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stage sluit zich af zodra alle vereiste taken erin voltooid zijn, ongeacht de status van niet-vereiste taken.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discretionary item wordt pas zichtbaar op de planning table nadat een specifieke milestone is bereikt.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taak moet opnieuw beschikbaar komen elke keer dat een bepaald case file item wijzigt (met expliciete aandacht voor de valkuil uit §17.2: hoe voorkom je dat hij bij élke wijziging vuurt als dat niet de bedoeling is?).</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Vind de fout *(tweetallen)*</w:t>
      </w:r>
    </w:p>
    <w:p>
      <w:pPr>
        <w:spacing w:after="160" w:line="300"/>
        <w:jc w:val="left"/>
      </w:pPr>
      <w:r>
        <w:rPr>
          <w:rFonts w:ascii="Calibri" w:cs="Calibri" w:eastAsia="Calibri" w:hAnsi="Calibri"/>
          <w:b w:val="false"/>
          <w:bCs w:val="false"/>
          <w:i w:val="false"/>
          <w:iCs w:val="false"/>
          <w:color w:val="1A1A1A"/>
          <w:sz w:val="21"/>
          <w:szCs w:val="21"/>
        </w:rPr>
        <w:t xml:space="preserve">Bij drie aangeleverde casemodellen: één met een sentry die (door een verwijzingsfout) nooit vuurt, één met een sentry die te vroeg vuurt door een te ruime if-part, en één met een sentry die bij elke wijziging van een case file item opnieuw vuurt terwijl dat niet de bedoeling was. Identificeer en corrigeer elk probleem.</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Casemodel Bijzondere Situaties *(kerndeliverable — huiswerk, inleveren vóór deel 18)*</w:t>
      </w:r>
    </w:p>
    <w:p>
      <w:pPr>
        <w:spacing w:after="160" w:line="300"/>
        <w:jc w:val="left"/>
      </w:pPr>
      <w:r>
        <w:rPr>
          <w:rFonts w:ascii="Calibri" w:cs="Calibri" w:eastAsia="Calibri" w:hAnsi="Calibri"/>
          <w:b w:val="false"/>
          <w:bCs w:val="false"/>
          <w:i w:val="false"/>
          <w:iCs w:val="false"/>
          <w:color w:val="1A1A1A"/>
          <w:sz w:val="21"/>
          <w:szCs w:val="21"/>
        </w:rPr>
        <w:t xml:space="preserve">Werk een volledig casemodel uit voor de afdeling </w:t>
      </w:r>
      <w:r>
        <w:rPr>
          <w:rFonts w:ascii="Calibri" w:cs="Calibri" w:eastAsia="Calibri" w:hAnsi="Calibri"/>
          <w:b/>
          <w:bCs/>
          <w:i w:val="false"/>
          <w:iCs w:val="false"/>
          <w:color w:val="1A1A1A"/>
          <w:sz w:val="21"/>
          <w:szCs w:val="21"/>
        </w:rPr>
        <w:t xml:space="preserve">Bijzondere Situaties</w:t>
      </w:r>
      <w:r>
        <w:rPr>
          <w:rFonts w:ascii="Calibri" w:cs="Calibri" w:eastAsia="Calibri" w:hAnsi="Calibri"/>
          <w:b w:val="false"/>
          <w:bCs w:val="false"/>
          <w:i w:val="false"/>
          <w:iCs w:val="false"/>
          <w:color w:val="1A1A1A"/>
          <w:sz w:val="21"/>
          <w:szCs w:val="21"/>
        </w:rPr>
        <w:t xml:space="preserve"> binnen het Programma Mutatieplatform (gebruik de vier scenario's uit de niveau 1-capstone als basis: echtscheiding met verevening, aanvullende inkomstenbronnen, medische indicatie, gedeeltelijke vervroeging — of breid uit met eigen, vergelijkbare situaties).</w:t>
      </w:r>
    </w:p>
    <w:p>
      <w:pPr>
        <w:spacing w:after="160" w:line="300"/>
        <w:jc w:val="left"/>
      </w:pPr>
      <w:r>
        <w:rPr>
          <w:rFonts w:ascii="Calibri" w:cs="Calibri" w:eastAsia="Calibri" w:hAnsi="Calibri"/>
          <w:b/>
          <w:bCs/>
          <w:i w:val="false"/>
          <w:iCs w:val="false"/>
          <w:color w:val="1A1A1A"/>
          <w:sz w:val="21"/>
          <w:szCs w:val="21"/>
        </w:rPr>
        <w:t xml:space="preserve">Eisen: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Minstens twee plan fragments, elk met een korte toelichting op de autorisatie (welke case planner-rol mag dit inzetten).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Minstens vier discretionary items.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Correct toegepaste levenscyclus-kennis: documenteer voor minstens twee sentries expliciet op welke transitie ze reageren (niet alleen welke toestand).</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Toepassing van minstens twee van de vijf casepatronen uit §17.5, met vermelding welke.</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5 — Hoeveel leg je vast *(tweetallen — het kerngesprek van dit deel)*</w:t>
      </w:r>
    </w:p>
    <w:p>
      <w:pPr>
        <w:spacing w:after="160" w:line="300"/>
        <w:jc w:val="left"/>
      </w:pPr>
      <w:r>
        <w:rPr>
          <w:rFonts w:ascii="Calibri" w:cs="Calibri" w:eastAsia="Calibri" w:hAnsi="Calibri"/>
          <w:b w:val="false"/>
          <w:bCs w:val="false"/>
          <w:i w:val="false"/>
          <w:iCs w:val="false"/>
          <w:color w:val="1A1A1A"/>
          <w:sz w:val="21"/>
          <w:szCs w:val="21"/>
        </w:rPr>
        <w:t xml:space="preserve">Maak twee varianten van hetzelfde casemodel (kies een deelaspect van je model uit opdracht 4, of een nieuw, kleiner scenario):</w:t>
      </w:r>
    </w:p>
    <w:p>
      <w:pPr>
        <w:spacing w:after="160" w:line="300"/>
        <w:jc w:val="left"/>
      </w:pPr>
      <w:r>
        <w:rPr>
          <w:rFonts w:ascii="Calibri" w:cs="Calibri" w:eastAsia="Calibri" w:hAnsi="Calibri"/>
          <w:b/>
          <w:bCs/>
          <w:i w:val="false"/>
          <w:iCs w:val="false"/>
          <w:color w:val="1A1A1A"/>
          <w:sz w:val="21"/>
          <w:szCs w:val="21"/>
        </w:rPr>
        <w:t xml:space="preserve">Variant strak</w:t>
      </w:r>
      <w:r>
        <w:rPr>
          <w:rFonts w:ascii="Calibri" w:cs="Calibri" w:eastAsia="Calibri" w:hAnsi="Calibri"/>
          <w:b w:val="false"/>
          <w:bCs w:val="false"/>
          <w:i w:val="false"/>
          <w:iCs w:val="false"/>
          <w:color w:val="1A1A1A"/>
          <w:sz w:val="21"/>
          <w:szCs w:val="21"/>
        </w:rPr>
        <w:t xml:space="preserve"> — maximaal vastgelegd: veel sentries, weinig discretionary ruimte, strikte volgordelijkheid waar mogelijk.</w:t>
      </w:r>
    </w:p>
    <w:p>
      <w:pPr>
        <w:spacing w:after="160" w:line="300"/>
        <w:jc w:val="left"/>
      </w:pPr>
      <w:r>
        <w:rPr>
          <w:rFonts w:ascii="Calibri" w:cs="Calibri" w:eastAsia="Calibri" w:hAnsi="Calibri"/>
          <w:b/>
          <w:bCs/>
          <w:i w:val="false"/>
          <w:iCs w:val="false"/>
          <w:color w:val="1A1A1A"/>
          <w:sz w:val="21"/>
          <w:szCs w:val="21"/>
        </w:rPr>
        <w:t xml:space="preserve">Variant ruim</w:t>
      </w:r>
      <w:r>
        <w:rPr>
          <w:rFonts w:ascii="Calibri" w:cs="Calibri" w:eastAsia="Calibri" w:hAnsi="Calibri"/>
          <w:b w:val="false"/>
          <w:bCs w:val="false"/>
          <w:i w:val="false"/>
          <w:iCs w:val="false"/>
          <w:color w:val="1A1A1A"/>
          <w:sz w:val="21"/>
          <w:szCs w:val="21"/>
        </w:rPr>
        <w:t xml:space="preserve"> — maximaal losgelaten: minimale sentries, veel discretionary items, weinig verplichte structuur.</w:t>
      </w:r>
    </w:p>
    <w:p>
      <w:pPr>
        <w:spacing w:after="160" w:line="300"/>
        <w:jc w:val="left"/>
      </w:pPr>
      <w:r>
        <w:rPr>
          <w:rFonts w:ascii="Calibri" w:cs="Calibri" w:eastAsia="Calibri" w:hAnsi="Calibri"/>
          <w:b w:val="false"/>
          <w:bCs w:val="false"/>
          <w:i w:val="false"/>
          <w:iCs w:val="false"/>
          <w:color w:val="1A1A1A"/>
          <w:sz w:val="21"/>
          <w:szCs w:val="21"/>
        </w:rPr>
        <w:t xml:space="preserve">Bespreek samen: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Wat wint de strakke variant, wat verliest hij?</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Wat wint de ruime variant, wat verliest hij?</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Voor déze afdeling (Bijzondere Situaties, met de gevoeligheid en juridische lading van de scenario's) — welke kant zou je opschuiven, en waarom?</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6 — Indicatoren voor cases *(deliverable — huiswerk, inleveren vóór deel 18)*</w:t>
      </w:r>
    </w:p>
    <w:p>
      <w:pPr>
        <w:spacing w:after="160" w:line="300"/>
        <w:jc w:val="left"/>
      </w:pPr>
      <w:r>
        <w:rPr>
          <w:rFonts w:ascii="Calibri" w:cs="Calibri" w:eastAsia="Calibri" w:hAnsi="Calibri"/>
          <w:b w:val="false"/>
          <w:bCs w:val="false"/>
          <w:i w:val="false"/>
          <w:iCs w:val="false"/>
          <w:color w:val="1A1A1A"/>
          <w:sz w:val="21"/>
          <w:szCs w:val="21"/>
        </w:rPr>
        <w:t xml:space="preserve">Formuleer vier indicatoren voor </w:t>
      </w:r>
      <w:r>
        <w:rPr>
          <w:rFonts w:ascii="Calibri" w:cs="Calibri" w:eastAsia="Calibri" w:hAnsi="Calibri"/>
          <w:b/>
          <w:bCs/>
          <w:i w:val="false"/>
          <w:iCs w:val="false"/>
          <w:color w:val="1A1A1A"/>
          <w:sz w:val="21"/>
          <w:szCs w:val="21"/>
        </w:rPr>
        <w:t xml:space="preserve">Klachten &amp; Bezwaren</w:t>
      </w:r>
      <w:r>
        <w:rPr>
          <w:rFonts w:ascii="Calibri" w:cs="Calibri" w:eastAsia="Calibri" w:hAnsi="Calibri"/>
          <w:b w:val="false"/>
          <w:bCs w:val="false"/>
          <w:i w:val="false"/>
          <w:iCs w:val="false"/>
          <w:color w:val="1A1A1A"/>
          <w:sz w:val="21"/>
          <w:szCs w:val="21"/>
        </w:rPr>
        <w:t xml:space="preserve">, elk met een meetpunt en een norm, die werken zonder vast pad (§17.6). Zorg dat minstens één indicator over doorlooptijd tot een milestone gaat, één over workload, en één over escalatie-gebruik.</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7 — Stellingen *(plenair)*</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Een casemodel dat je strak genoeg maakt om te kunnen sturen, is geen casemodel meer.</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Plan fragments met autorisatie zijn eigenlijk een vorm van functiescheiding, net als in BPMN.</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Caseperformance is per definitie moeilijker te sturen dan procesperformance — dat is geen tekortkoming van het meten, het is de aard van het werk.</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De vijf casepatronen dekken de meeste praktijksituaties; een casemodel dat in geen van de vijf past, is waarschijnlijk verkeerd ontworpen.</w:t>
      </w:r>
    </w:p>
    <w:p>
      <w:pPr>
        <w:pStyle w:val="Heading2"/>
        <w:pBdr>
          <w:bottom w:val="single" w:color="2563A8" w:sz="6" w:space="4"/>
        </w:pBdr>
        <w:spacing w:after="160" w:before="300"/>
      </w:pPr>
      <w:r>
        <w:rPr>
          <w:rFonts w:ascii="Calibri" w:cs="Calibri" w:eastAsia="Calibri" w:hAnsi="Calibri"/>
          <w:b/>
          <w:bCs/>
          <w:color w:val="2563A8"/>
          <w:sz w:val="24"/>
          <w:szCs w:val="24"/>
        </w:rPr>
        <w:t xml:space="preserve">Vooruitblik</w:t>
      </w:r>
    </w:p>
    <w:p>
      <w:pPr>
        <w:spacing w:after="160" w:line="300"/>
        <w:jc w:val="left"/>
      </w:pPr>
      <w:r>
        <w:rPr>
          <w:rFonts w:ascii="Calibri" w:cs="Calibri" w:eastAsia="Calibri" w:hAnsi="Calibri"/>
          <w:b w:val="false"/>
          <w:bCs w:val="false"/>
          <w:i w:val="false"/>
          <w:iCs w:val="false"/>
          <w:color w:val="1A1A1A"/>
          <w:sz w:val="21"/>
          <w:szCs w:val="21"/>
        </w:rPr>
        <w:t xml:space="preserve">Deel 18 combineert BPMN en CMMN formeel in architectuurpatronen — het "complexe mutatie"-patroon uit §17.5 wordt daar volledig uitgewerkt, samen met de vraag welk model leidend is en waar de bron van waarheid ligt.</w:t>
      </w:r>
    </w:p>
    <w:p>
      <w:pPr>
        <w:spacing w:after="160" w:line="300"/>
        <w:jc w:val="left"/>
      </w:pPr>
      <w:r>
        <w:rPr>
          <w:rFonts w:ascii="Calibri" w:cs="Calibri" w:eastAsia="Calibri" w:hAnsi="Calibri"/>
          <w:b/>
          <w:bCs/>
          <w:i w:val="false"/>
          <w:iCs w:val="false"/>
          <w:color w:val="1A1A1A"/>
          <w:sz w:val="21"/>
          <w:szCs w:val="21"/>
        </w:rPr>
        <w:t xml:space="preserve">Lever opdracht 4 en 6 in vóór de start van deel 18.</w:t>
      </w:r>
      <w:r>
        <w:rPr>
          <w:rFonts w:ascii="Calibri" w:cs="Calibri" w:eastAsia="Calibri" w:hAnsi="Calibri"/>
          <w:b w:val="false"/>
          <w:bCs w:val="false"/>
          <w:i w:val="false"/>
          <w:iCs w:val="false"/>
          <w:color w:val="1A1A1A"/>
          <w:sz w:val="21"/>
          <w:szCs w:val="21"/>
        </w:rPr>
        <w:t xml:space="preserve"> De eerste twintig minuten van dat dagdeel zijn gereserveerd voor peer feedback op je casemodel en je indicatoren.</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17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2026-08-17T15:44:31.290Z</dcterms:created>
  <dcterms:modified xsi:type="dcterms:W3CDTF">2026-08-17T15:44:31.291Z</dcterms:modified>
</cp:coreProperties>
</file>

<file path=docProps/custom.xml><?xml version="1.0" encoding="utf-8"?>
<Properties xmlns="http://schemas.openxmlformats.org/officeDocument/2006/custom-properties" xmlns:vt="http://schemas.openxmlformats.org/officeDocument/2006/docPropsVTypes"/>
</file>