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18</w:t>
      </w:r>
    </w:p>
    <w:p>
      <w:pPr>
        <w:spacing w:after="300"/>
      </w:pPr>
      <w:r>
        <w:rPr>
          <w:rFonts w:ascii="Calibri" w:cs="Calibri" w:eastAsia="Calibri" w:hAnsi="Calibri"/>
          <w:b/>
          <w:bCs/>
          <w:color w:val="14213D"/>
          <w:sz w:val="32"/>
          <w:szCs w:val="32"/>
        </w:rPr>
        <w:t xml:space="preserve">Docentenhandleiding — Combineren in architectuurpatronen</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Dit is het integratiedeel van niveau 2 en de directe voorbereiding op het BPM+ "triple crown"-onderdeel. Het vraagt van deelnemers om drie delen kennis (BPMN, DMN, CMMN, elk apart al verdiept in deel 13-17) tegelijk te combineren op programmaniveau — een zwaardere denkopgave dan de eerdere delen, ook al is de hoeveelheid nieuwe notatie beperkt.</w:t>
      </w:r>
    </w:p>
    <w:p>
      <w:pPr>
        <w:spacing w:after="160" w:line="300"/>
        <w:jc w:val="left"/>
      </w:pPr>
      <w:r>
        <w:rPr>
          <w:rFonts w:ascii="Calibri" w:cs="Calibri" w:eastAsia="Calibri" w:hAnsi="Calibri"/>
          <w:b/>
          <w:bCs/>
          <w:i w:val="false"/>
          <w:iCs w:val="false"/>
          <w:color w:val="1A1A1A"/>
          <w:sz w:val="21"/>
          <w:szCs w:val="21"/>
        </w:rPr>
        <w:t xml:space="preserve">Open dit dagdeel met de peer feedback-ronde uit deel 17.</w:t>
      </w:r>
      <w:r>
        <w:rPr>
          <w:rFonts w:ascii="Calibri" w:cs="Calibri" w:eastAsia="Calibri" w:hAnsi="Calibri"/>
          <w:b w:val="false"/>
          <w:bCs w:val="false"/>
          <w:i w:val="false"/>
          <w:iCs w:val="false"/>
          <w:color w:val="1A1A1A"/>
          <w:sz w:val="21"/>
          <w:szCs w:val="21"/>
        </w:rPr>
        <w:t xml:space="preserve"> Dit is geen vrijblijvend onderdeel: deelnemers die in deel 17 opdracht 4 en 6 als huiswerk hebben ingeleverd, verwachten daar iets mee te doen. Sla dit niet over, ook niet bij tijdsdruk later in het dagdeel — verplaats dan liever opdracht 7 (stellingen) naar een korte schriftelijke afronding.</w:t>
      </w:r>
    </w:p>
    <w:p>
      <w:pPr>
        <w:spacing w:after="160" w:line="300"/>
        <w:jc w:val="left"/>
      </w:pPr>
      <w:r>
        <w:rPr>
          <w:rFonts w:ascii="Calibri" w:cs="Calibri" w:eastAsia="Calibri" w:hAnsi="Calibri"/>
          <w:b w:val="false"/>
          <w:bCs w:val="false"/>
          <w:i w:val="false"/>
          <w:iCs w:val="false"/>
          <w:color w:val="1A1A1A"/>
          <w:sz w:val="21"/>
          <w:szCs w:val="21"/>
        </w:rPr>
        <w:t xml:space="preserve">Kernboodschap voor de rest van het dagdeel: elk combinatiepatroon kost onderhoud. Deelnemers die enthousiast het meest geavanceerde patroon kiezen ("case bevat cases") omdat het knap oogt, moeten leren dat het eenvoudigste patroon dat nog klopt de voorkeur verdient — dit is dezelfde discipline die niveau 1, deel 4 al leerde voor losse BPMN-elementen, nu toegepast op architectuurniveau.</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4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Peer feedback op deel 17 (opdracht 4 en 6)</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 inleveren aan het eind</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0:20 – 0:30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Terugblik, programma van vandaag</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 – 0:50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vijf patronen (§18.1)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18.1</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0:50 – 1:10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1:10 – 1:25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1:25 – 1:45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Gestuurd traject met vrije ruimte (§18.2)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18.2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1:45 – 2:15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2:15 – 2:30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Dossier met deelprocessen (§18.3)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18.3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2:30 – 2:45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2:45 – 3:10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3:10 – 3:25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Wie is leidend (§18.4) — opdracht 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tweetallen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3:25 – 3:45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Hybride referentiemodellen (§18.5), opdracht 5 starten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start deliverable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3:45 – 4:00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Grenzen bewaken (§18.6), opdracht 6 kort, vooruitblik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Opdracht 5 (het hybride referentiemodel) is de kerndeliverable en loopt door na het dagdeel. Opdracht 7 (stellingen) kan bij tijdsdruk als schriftelijke afronding worden meegegeven in plaats van plenair te bespreken.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Kies het patroon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Patroon</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Proces roept beslissing aan</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Beslissing binnen een case</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Proces start een case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Case bevat cases</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Case bevat processen</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Proces roept beslissing aan</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Case bevat cases</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8</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Proces start een case</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Situatie 3 en 8 zijn bijna identiek in structuur maar verschillen in nuance — beide zijn "proces start een case", en dat is precies de bedoeling: laat zien dat het patroon niet afhangt van de afdeling maar van de aard van de overgang. Situatie 4 en 7 (case bevat cases) zijn het minst voorkomende patroon in de praktijk — vraag door of een deelnemer kan beargumenteren waarom dit niet gewoon twee losse, parallelle cases zouden kunnen zijn (directe link naar stelling 2 in opdracht 7).</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Gestuurd traject</w:t>
      </w:r>
    </w:p>
    <w:p>
      <w:pPr>
        <w:spacing w:after="160" w:line="300"/>
        <w:jc w:val="left"/>
      </w:pPr>
      <w:r>
        <w:rPr>
          <w:rFonts w:ascii="Calibri" w:cs="Calibri" w:eastAsia="Calibri" w:hAnsi="Calibri"/>
          <w:b w:val="false"/>
          <w:bCs w:val="false"/>
          <w:i w:val="false"/>
          <w:iCs w:val="false"/>
          <w:color w:val="1A1A1A"/>
          <w:sz w:val="21"/>
          <w:szCs w:val="21"/>
        </w:rPr>
        <w:t xml:space="preserve">Geen uniek modelantwoord. Beoordeel of de grens tussen het vaste BPMN-deel en de CMMN-stage inhoudelijk beargumenteerd is met de vuistregel uit §18.2 (eigen levenscyclus? meerdere behandelaars over tijd?) en niet willekeurig getrokken.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Dossier met deelprocessen</w:t>
      </w:r>
    </w:p>
    <w:p>
      <w:pPr>
        <w:spacing w:after="160" w:line="300"/>
        <w:jc w:val="left"/>
      </w:pPr>
      <w:r>
        <w:rPr>
          <w:rFonts w:ascii="Calibri" w:cs="Calibri" w:eastAsia="Calibri" w:hAnsi="Calibri"/>
          <w:b w:val="false"/>
          <w:bCs w:val="false"/>
          <w:i w:val="false"/>
          <w:iCs w:val="false"/>
          <w:color w:val="1A1A1A"/>
          <w:sz w:val="21"/>
          <w:szCs w:val="21"/>
        </w:rPr>
        <w:t xml:space="preserve">Geen uniek modelantwoord. Controleer de granulariteitsmotivatie per process task: een deelnemer die een enkele activiteit als process task modelleert zonder te beargumenteren waarom dat geen human task kan zijn, heeft §18.3's vuistregel gemist.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Bron van waarheid</w:t>
      </w:r>
    </w:p>
    <w:p>
      <w:pPr>
        <w:spacing w:after="160" w:line="300"/>
        <w:jc w:val="left"/>
      </w:pPr>
      <w:r>
        <w:rPr>
          <w:rFonts w:ascii="Calibri" w:cs="Calibri" w:eastAsia="Calibri" w:hAnsi="Calibri"/>
          <w:b w:val="false"/>
          <w:bCs w:val="false"/>
          <w:i w:val="false"/>
          <w:iCs w:val="false"/>
          <w:color w:val="1A1A1A"/>
          <w:sz w:val="21"/>
          <w:szCs w:val="21"/>
        </w:rPr>
        <w:t xml:space="preserve">Verwacht bijvoorbeeld: status van een herberekening → leidend is het BPMN-proces dat de herberekening uitvoert (patroon "case bevat processen"); of juridisch vooronderzoek nodig is → leidend is het casemodel (het is een casebeslissing, mogelijk via een decision task); kortingspercentage → leidend is de DMN-decision zelf, door alle aanroepers gelezen, nooit lokaal gedupliceerd.</w:t>
      </w:r>
    </w:p>
    <w:p>
      <w:pPr>
        <w:spacing w:after="160" w:line="300"/>
        <w:jc w:val="left"/>
      </w:pPr>
      <w:r>
        <w:rPr>
          <w:rFonts w:ascii="Calibri" w:cs="Calibri" w:eastAsia="Calibri" w:hAnsi="Calibri"/>
          <w:b/>
          <w:bCs/>
          <w:i w:val="false"/>
          <w:iCs w:val="false"/>
          <w:color w:val="1A1A1A"/>
          <w:sz w:val="21"/>
          <w:szCs w:val="21"/>
        </w:rPr>
        <w:t xml:space="preserve">Risico's om te herkennen bij de bespreking.</w:t>
      </w:r>
      <w:r>
        <w:rPr>
          <w:rFonts w:ascii="Calibri" w:cs="Calibri" w:eastAsia="Calibri" w:hAnsi="Calibri"/>
          <w:b w:val="false"/>
          <w:bCs w:val="false"/>
          <w:i w:val="false"/>
          <w:iCs w:val="false"/>
          <w:color w:val="1A1A1A"/>
          <w:sz w:val="21"/>
          <w:szCs w:val="21"/>
        </w:rPr>
        <w:t xml:space="preserve"> Een goed antwoord bij "wat gaat er mis zonder deze regel" benoemt concreet: twee statussen die uit de pas lopen, een rapportage die telt vanuit het verkeerde model, of een medewerker die op basis van verouderde informatie handelt omdat hij het niet-leidende model raadpleegde.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Hybride referentiemodel</w:t>
      </w:r>
    </w:p>
    <w:p>
      <w:pPr>
        <w:spacing w:after="160" w:line="300"/>
        <w:jc w:val="left"/>
      </w:pPr>
      <w:r>
        <w:rPr>
          <w:rFonts w:ascii="Calibri" w:cs="Calibri" w:eastAsia="Calibri" w:hAnsi="Calibri"/>
          <w:b w:val="false"/>
          <w:bCs w:val="false"/>
          <w:i w:val="false"/>
          <w:iCs w:val="false"/>
          <w:color w:val="1A1A1A"/>
          <w:sz w:val="21"/>
          <w:szCs w:val="21"/>
        </w:rPr>
        <w:t xml:space="preserve">Geen uniek modelantwoord. Kernpunt van beoordeling: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het basispatroon (ontvangst, classificatie, vertakking) daadwerkelijk generiek — zou het letterlijk, zonder aanpassing, voor een zesde, hypothetische afdeling werken?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er minstens één afdeling met een ander patroon dan het simpelste ("proces roept beslissing aan")? Een deelnemer die alle vijf afdelingen hetzelfde behandelt, heeft de spanning van het programma (generiek versus specifiek, uit deel 11) niet doorleefd.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de verantwoording eerlijk over de grenzen van het generieke deel — claimt de deelnemer meer hergebruik dan het model daadwerkelijk biedt?</w:t>
      </w:r>
    </w:p>
    <w:p>
      <w:pPr>
        <w:spacing w:after="160" w:line="300"/>
        <w:jc w:val="left"/>
      </w:pPr>
      <w:r>
        <w:rPr>
          <w:rFonts w:ascii="Calibri" w:cs="Calibri" w:eastAsia="Calibri" w:hAnsi="Calibri"/>
          <w:b/>
          <w:bCs/>
          <w:i w:val="false"/>
          <w:iCs w:val="false"/>
          <w:color w:val="1A1A1A"/>
          <w:sz w:val="21"/>
          <w:szCs w:val="21"/>
        </w:rPr>
        <w:t xml:space="preserve">Verwacht struikelpunt.</w:t>
      </w:r>
      <w:r>
        <w:rPr>
          <w:rFonts w:ascii="Calibri" w:cs="Calibri" w:eastAsia="Calibri" w:hAnsi="Calibri"/>
          <w:b w:val="false"/>
          <w:bCs w:val="false"/>
          <w:i w:val="false"/>
          <w:iCs w:val="false"/>
          <w:color w:val="1A1A1A"/>
          <w:sz w:val="21"/>
          <w:szCs w:val="21"/>
        </w:rPr>
        <w:t xml:space="preserve"> Deelnemers die het generieke deel te dun houden (alleen "ontvangst") missen de kans om ook de classificatiestap centraal te beheren — dit is een gemiste kans op echt hergebruik en een goed coachingsmoment: vraag door welk deel van de vijf afdelingsprocessen daadwerkelijk identiek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Impactanalyse</w:t>
      </w:r>
    </w:p>
    <w:p>
      <w:pPr>
        <w:spacing w:after="160" w:line="300"/>
        <w:jc w:val="left"/>
      </w:pPr>
      <w:r>
        <w:rPr>
          <w:rFonts w:ascii="Calibri" w:cs="Calibri" w:eastAsia="Calibri" w:hAnsi="Calibri"/>
          <w:b w:val="false"/>
          <w:bCs w:val="false"/>
          <w:i w:val="false"/>
          <w:iCs w:val="false"/>
          <w:color w:val="1A1A1A"/>
          <w:sz w:val="21"/>
          <w:szCs w:val="21"/>
        </w:rPr>
        <w:t xml:space="preserve">Verwacht: zonder registratie is dit een handmatige zoektocht door elk model naar aanroepen van de gewijzigde decision. Een goed antwoord benoemt concreet wat er geregistreerd zou moeten worden — een lijst van "wie roept wat aan", idealiter automatisch afgeleid uit de modellen zelf in plaats van handmatig bijgehouden — en erkent dat dit vooruitloopt op het beslisservice-contract uit deel 19.</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Realistisch en de moeite waard om serieus te nemen — verwijs naar deel 11's onopgeloste spanning tussen generiek en specifiek. Een goed antwoord erkent dat het referentiemodel onderhoud vergt naarmate afdelingen evolueren, niet een eenmalige oplossing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 zie het bespreekpunt bij opdracht 1. Laat deelnemers een concreet tegenvoorbeeld proberen te vinden waarin "case bevat cases" wél nodig is (bijvoorbeeld: een deeldossier dat een deel van het case file van de hoofdzaak moet kunnen raadplegen, wat met twee losse cases lastiger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Belangrijk punt om te bevestigen: ontwerp voor tijdelijke inconsistentie (bijvoorbeeld via het case file als asynchrone koppeling, niveau 1, deel 7, §7.2) in plaats van te veronderstellen dat twee modellen altijd synchroon zijn.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Nuance: volledige automatisering van impactanalyse vereist dat koppelpunten consistent en machineleesbaar zijn vastgelegd — dat is zelf een governance-eis (deel 21), niet vanzelfsprekend aanwezig.</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Het meest geavanceerde patroon kiezen omdat het kan</w:t>
      </w:r>
      <w:r>
        <w:rPr>
          <w:rFonts w:ascii="Calibri" w:cs="Calibri" w:eastAsia="Calibri" w:hAnsi="Calibri"/>
          <w:b w:val="false"/>
          <w:bCs w:val="false"/>
          <w:i w:val="false"/>
          <w:iCs w:val="false"/>
          <w:color w:val="1A1A1A"/>
          <w:sz w:val="21"/>
          <w:szCs w:val="21"/>
        </w:rPr>
        <w:t xml:space="preserve">, in plaats van het eenvoudigste patroon dat nog klopt — de kernboodschap van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grens tussen "gestuurd traject" en "dossier met deelprocessen" willekeurig trekken</w:t>
      </w:r>
      <w:r>
        <w:rPr>
          <w:rFonts w:ascii="Calibri" w:cs="Calibri" w:eastAsia="Calibri" w:hAnsi="Calibri"/>
          <w:b w:val="false"/>
          <w:bCs w:val="false"/>
          <w:i w:val="false"/>
          <w:iCs w:val="false"/>
          <w:color w:val="1A1A1A"/>
          <w:sz w:val="21"/>
          <w:szCs w:val="21"/>
        </w:rPr>
        <w:t xml:space="preserve"> in plaats van de vuistregel uit §18.2/§18.3 toe te passen.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Impliciete dubbele bijhouding</w:t>
      </w:r>
      <w:r>
        <w:rPr>
          <w:rFonts w:ascii="Calibri" w:cs="Calibri" w:eastAsia="Calibri" w:hAnsi="Calibri"/>
          <w:b w:val="false"/>
          <w:bCs w:val="false"/>
          <w:i w:val="false"/>
          <w:iCs w:val="false"/>
          <w:color w:val="1A1A1A"/>
          <w:sz w:val="21"/>
          <w:szCs w:val="21"/>
        </w:rPr>
        <w:t xml:space="preserve"> van dezelfde status in twee modellen, zonder de bron-van-waarheid-vraag te stellen (opdracht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te dun generiek basispatroon</w:t>
      </w:r>
      <w:r>
        <w:rPr>
          <w:rFonts w:ascii="Calibri" w:cs="Calibri" w:eastAsia="Calibri" w:hAnsi="Calibri"/>
          <w:b w:val="false"/>
          <w:bCs w:val="false"/>
          <w:i w:val="false"/>
          <w:iCs w:val="false"/>
          <w:color w:val="1A1A1A"/>
          <w:sz w:val="21"/>
          <w:szCs w:val="21"/>
        </w:rPr>
        <w:t xml:space="preserve"> in het hybride referentiemodel, waardoor de belofte van hergebruik niet wordt waargemaakt (opdracht 5).</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Patroonkeuze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Kiest willekeurig of te geavanceerd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Kiest passend in eenduidige gevallen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Beargumenteert waarom het gekozen patroon het eenvoudigste is dat nog klopt</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Grensbepaling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Trekt de grens tussen BPMN- en CMMN-deel willekeurig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Grens benoemd, summier beargumenteerd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Grens expliciet getoetst aan de vuistregel uit §18.2/18.3</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Bron van waarheid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expliciete eigenaar per gegeven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Eigenaar benoemd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Eigenaar benoemd met concreet risico bij afwijking</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Hybride referentiemodel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Vijf losse afdelingsmodellen zonder gedeelde kern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Gedeelde kern aanwezig, dun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Gedeelde kern substantieel, afwijkingen per afdeling expliciet gemotiveerd</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de casemodellen en indicatoren van elke deelnemer uit deel 17 beschikbaar voor de peer feedback-opening, voldoende tijd na het dagdeel voor opdracht 5.</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18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2026-08-17T15:44:32.484Z</dcterms:created>
  <dcterms:modified xsi:type="dcterms:W3CDTF">2026-08-17T15:44:32.485Z</dcterms:modified>
</cp:coreProperties>
</file>

<file path=docProps/custom.xml><?xml version="1.0" encoding="utf-8"?>
<Properties xmlns="http://schemas.openxmlformats.org/officeDocument/2006/custom-properties" xmlns:vt="http://schemas.openxmlformats.org/officeDocument/2006/docPropsVTypes"/>
</file>