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18</w:t>
      </w:r>
    </w:p>
    <w:p>
      <w:pPr>
        <w:spacing w:after="300"/>
      </w:pPr>
      <w:r>
        <w:rPr>
          <w:rFonts w:ascii="Calibri" w:cs="Calibri" w:eastAsia="Calibri" w:hAnsi="Calibri"/>
          <w:b/>
          <w:bCs/>
          <w:color w:val="14213D"/>
          <w:sz w:val="34"/>
          <w:szCs w:val="34"/>
        </w:rPr>
        <w:t xml:space="preserve">Werkboek — Combineren in architectuurpatronen</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individueel in Conductus, opdracht 3 individueel in Conductus, opdracht 4 in tweetallen, opdracht 5 (kerndeliverable) individueel met verwerkingstijd, opdracht 6 individueel, opdracht 7 plenair. Reken op ± 4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Peer feedback op deel 17 *(eerste 20 minuten van dit dagdeel)*</w:t>
      </w:r>
    </w:p>
    <w:p>
      <w:pPr>
        <w:spacing w:after="160" w:line="300"/>
        <w:jc w:val="left"/>
      </w:pPr>
      <w:r>
        <w:rPr>
          <w:rFonts w:ascii="Calibri" w:cs="Calibri" w:eastAsia="Calibri" w:hAnsi="Calibri"/>
          <w:b w:val="false"/>
          <w:bCs w:val="false"/>
          <w:i w:val="false"/>
          <w:iCs w:val="false"/>
          <w:color w:val="1A1A1A"/>
          <w:sz w:val="21"/>
          <w:szCs w:val="21"/>
        </w:rPr>
        <w:t xml:space="preserve">Wissel je casemodel (opdracht 4) en je indicatoren (opdracht 6) uit deel 17 met een medecursist. Geef schriftelijke feedback op minstens drie punten per document, met de rubrics uit deel 17 als leidraad. Lever de feedback aan het eind van dit blok in bij de docent, samen met je eigen, eventueel op basis van de feedback bijgewerkte, documenten.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Kies het patroon</w:t>
      </w:r>
    </w:p>
    <w:p>
      <w:pPr>
        <w:spacing w:after="160" w:line="300"/>
        <w:jc w:val="left"/>
      </w:pPr>
      <w:r>
        <w:rPr>
          <w:rFonts w:ascii="Calibri" w:cs="Calibri" w:eastAsia="Calibri" w:hAnsi="Calibri"/>
          <w:b w:val="false"/>
          <w:bCs w:val="false"/>
          <w:i w:val="false"/>
          <w:iCs w:val="false"/>
          <w:color w:val="1A1A1A"/>
          <w:sz w:val="21"/>
          <w:szCs w:val="21"/>
        </w:rPr>
        <w:t xml:space="preserve">Voor acht situaties uit het Programma Mutatieplatform: welk van de vijf combinatiepatronen uit §18.1 past het best?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DMN-decision bepaalt het premiepercentage; dit wordt aangeroepen vanuit het proces Werkgevermutaties.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Binnen een klachtdossier moet op enig moment worden vastgesteld of nader juridisch onderzoek nodig is — één beslismoment, geen vaste volgorde eromheen.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Binnen Deelnemermutaties wordt, bij een specifiek type wijziging, een apart onderzoekstraject gestart waarbij de volgorde van stappen niet vastligt.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klacht valt uiteen in twee onafhankelijke deelonderzoeken, elk met een eigen looptijd en eigen milestones.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Binnen een casetraject bij Bijzondere Situaties wordt de rekenkundige herberekening van het uitkeringspercentage uitgevoerd via een vast, viertraps proces.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risicoscore wordt berekend bij binnenkomst van elke mutatie, ongeacht welke afdeling.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echtscheidingszaak binnen Bijzondere Situaties bevat een deeltraject rond de vaststelling van de pensioenverevening, dat zelf weer een eigen dossierkarakter heeft los van de hoofdzaak.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waardeoverdracht-aanvraag wordt, bij een specifieke complicatie, doorverwezen naar een casetraject terwijl de rest van het proces een vast pad blijft volgen.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Gestuurd traject</w:t>
      </w:r>
    </w:p>
    <w:p>
      <w:pPr>
        <w:spacing w:after="160" w:line="300"/>
        <w:jc w:val="left"/>
      </w:pPr>
      <w:r>
        <w:rPr>
          <w:rFonts w:ascii="Calibri" w:cs="Calibri" w:eastAsia="Calibri" w:hAnsi="Calibri"/>
          <w:b w:val="false"/>
          <w:bCs w:val="false"/>
          <w:i w:val="false"/>
          <w:iCs w:val="false"/>
          <w:color w:val="1A1A1A"/>
          <w:sz w:val="21"/>
          <w:szCs w:val="21"/>
        </w:rPr>
        <w:t xml:space="preserve">Modelleer in Conductus </w:t>
      </w:r>
      <w:r>
        <w:rPr>
          <w:rFonts w:ascii="Calibri" w:cs="Calibri" w:eastAsia="Calibri" w:hAnsi="Calibri"/>
          <w:b/>
          <w:bCs/>
          <w:i w:val="false"/>
          <w:iCs w:val="false"/>
          <w:color w:val="1A1A1A"/>
          <w:sz w:val="21"/>
          <w:szCs w:val="21"/>
        </w:rPr>
        <w:t xml:space="preserve">Werkgevermutaties</w:t>
      </w:r>
      <w:r>
        <w:rPr>
          <w:rFonts w:ascii="Calibri" w:cs="Calibri" w:eastAsia="Calibri" w:hAnsi="Calibri"/>
          <w:b w:val="false"/>
          <w:bCs w:val="false"/>
          <w:i w:val="false"/>
          <w:iCs w:val="false"/>
          <w:color w:val="1A1A1A"/>
          <w:sz w:val="21"/>
          <w:szCs w:val="21"/>
        </w:rPr>
        <w:t xml:space="preserve"> als BPMN-skelet met een CMMN-stage voor het deel waarin een werkgever meerdere, samenhangende wijzigingen tegelijk doorgeeft. Documenteer expliciet waar de grens ligt tussen het vaste deel en de stage, en waarom (verwijs naar de vuistregel uit §18.2).</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Dossier met deelprocessen</w:t>
      </w:r>
    </w:p>
    <w:p>
      <w:pPr>
        <w:spacing w:after="160" w:line="300"/>
        <w:jc w:val="left"/>
      </w:pPr>
      <w:r>
        <w:rPr>
          <w:rFonts w:ascii="Calibri" w:cs="Calibri" w:eastAsia="Calibri" w:hAnsi="Calibri"/>
          <w:b w:val="false"/>
          <w:bCs w:val="false"/>
          <w:i w:val="false"/>
          <w:iCs w:val="false"/>
          <w:color w:val="1A1A1A"/>
          <w:sz w:val="21"/>
          <w:szCs w:val="21"/>
        </w:rPr>
        <w:t xml:space="preserve">Modelleer in Conductus </w:t>
      </w:r>
      <w:r>
        <w:rPr>
          <w:rFonts w:ascii="Calibri" w:cs="Calibri" w:eastAsia="Calibri" w:hAnsi="Calibri"/>
          <w:b/>
          <w:bCs/>
          <w:i w:val="false"/>
          <w:iCs w:val="false"/>
          <w:color w:val="1A1A1A"/>
          <w:sz w:val="21"/>
          <w:szCs w:val="21"/>
        </w:rPr>
        <w:t xml:space="preserve">Klachten &amp; Bezwaren</w:t>
      </w:r>
      <w:r>
        <w:rPr>
          <w:rFonts w:ascii="Calibri" w:cs="Calibri" w:eastAsia="Calibri" w:hAnsi="Calibri"/>
          <w:b w:val="false"/>
          <w:bCs w:val="false"/>
          <w:i w:val="false"/>
          <w:iCs w:val="false"/>
          <w:color w:val="1A1A1A"/>
          <w:sz w:val="21"/>
          <w:szCs w:val="21"/>
        </w:rPr>
        <w:t xml:space="preserve"> als CMMN-skelet met minstens twee process tasks. Voor elke process task: beargumenteer waarom dit geen gewone human task is (§18.3's granulariteitsvuistregel).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Bron van waarheid *(tweetallen)*</w:t>
      </w:r>
    </w:p>
    <w:p>
      <w:pPr>
        <w:spacing w:after="160" w:line="300"/>
        <w:jc w:val="left"/>
      </w:pPr>
      <w:r>
        <w:rPr>
          <w:rFonts w:ascii="Calibri" w:cs="Calibri" w:eastAsia="Calibri" w:hAnsi="Calibri"/>
          <w:b w:val="false"/>
          <w:bCs w:val="false"/>
          <w:i w:val="false"/>
          <w:iCs w:val="false"/>
          <w:color w:val="1A1A1A"/>
          <w:sz w:val="21"/>
          <w:szCs w:val="21"/>
        </w:rPr>
        <w:t xml:space="preserve">Voor zes gegevens binnen het Programma Mutatieplatform (bijvoorbeeld: status van een herberekening, of juridisch vooronderzoek nodig is, de definitieve uitkeringsdatum, of een dossier compleet is, het kortingspercentage, de escalatiestatus): bepaal welk model leidend is en welke modellen alleen lezen. Benoem bij minstens twee gevallen een concreet risico als deze regel niet zou worden gevolgd.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Hybride referentiemodel *(kerndeliverable)*</w:t>
      </w:r>
    </w:p>
    <w:p>
      <w:pPr>
        <w:spacing w:after="160" w:line="300"/>
        <w:jc w:val="left"/>
      </w:pPr>
      <w:r>
        <w:rPr>
          <w:rFonts w:ascii="Calibri" w:cs="Calibri" w:eastAsia="Calibri" w:hAnsi="Calibri"/>
          <w:b w:val="false"/>
          <w:bCs w:val="false"/>
          <w:i w:val="false"/>
          <w:iCs w:val="false"/>
          <w:color w:val="1A1A1A"/>
          <w:sz w:val="21"/>
          <w:szCs w:val="21"/>
        </w:rPr>
        <w:t xml:space="preserve">Ontwerp één hybride referentiemodel dat toepasbaar is op alle vijf de afdelingen van het Mutatieplatform.</w:t>
      </w:r>
    </w:p>
    <w:p>
      <w:pPr>
        <w:spacing w:after="160" w:line="300"/>
        <w:jc w:val="left"/>
      </w:pPr>
      <w:r>
        <w:rPr>
          <w:rFonts w:ascii="Calibri" w:cs="Calibri" w:eastAsia="Calibri" w:hAnsi="Calibri"/>
          <w:b/>
          <w:bCs/>
          <w:i w:val="false"/>
          <w:iCs w:val="false"/>
          <w:color w:val="1A1A1A"/>
          <w:sz w:val="21"/>
          <w:szCs w:val="21"/>
        </w:rPr>
        <w:t xml:space="preserve">Eisen: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generiek basispatroon (ontvangst, classificatie, vertakking) dat voor alle vijf afdelingen identiek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Per afdeling: welke vertakking (BPMN-vervolg of CMMN-casetraject) van toepassing is, en waarom.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Minstens één afdeling die een combinatiepatroon uit §18.1 nodig heeft dat niet "proces roept beslissing aan" is — expliciet benoemd en gemotiveerd.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korte verantwoording (maximaal een pagina): wat is generiek, wat is afdelingsspecifiek, en hoe voorkomt dit ontwerp dat elke afdeling zijn eigen, incompatibele variant bouwt?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Impactanalyse</w:t>
      </w:r>
    </w:p>
    <w:p>
      <w:pPr>
        <w:spacing w:after="160" w:line="300"/>
        <w:jc w:val="left"/>
      </w:pPr>
      <w:r>
        <w:rPr>
          <w:rFonts w:ascii="Calibri" w:cs="Calibri" w:eastAsia="Calibri" w:hAnsi="Calibri"/>
          <w:b w:val="false"/>
          <w:bCs w:val="false"/>
          <w:i w:val="false"/>
          <w:iCs w:val="false"/>
          <w:color w:val="1A1A1A"/>
          <w:sz w:val="21"/>
          <w:szCs w:val="21"/>
        </w:rPr>
        <w:t xml:space="preserve">Gegeven een wijziging in de classificatie-decision uit opdracht 5 (een nieuwe verplichte inputwaarde): welke modellen worden geraakt? Beschrijf hoe je dat zou vaststellen zonder elk model handmatig te moeten doorzoeken — wat zou je willen dat er geregistreerd was (vooruitwijzing naar deel 19, §19.3)?</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Eén referentiemodel voor vijf afdelingen is een illusie — de afwijkingen zullen uiteindelijk groter worden dan de overeenkomsten.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"Case bevat cases" zou je bijna nooit moeten gebruiken — als een dossier twee onafhankelijke deeldossiers nodig heeft, zijn het eigenlijk gewoon twee losse cases.</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De bron-van-waarheid-regel is in theorie helder, maar in de praktijk zullen twee modellen altijd op zijn minst tijdelijk uit de pas lopen — daar moet je op ontwerpen, niet op vertrouwen dat het niet gebeurt.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Impactanalyse zou geautomatiseerd moeten zijn, niet iets dat een consultant handmatig uitzoekt.</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19 gaat over de stap van analysemodel naar uitvoerbaar model, verspreid over twee dagdelen: BPMN executable eerst, dan de beslisservice, CMMN-uitvoering, testen en guardrails. Het hybride referentiemodel van vandaag is wat je daar daadwerkelijk gaat deployen.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2026-08-17T15:44:32.298Z</dcterms:created>
  <dcterms:modified xsi:type="dcterms:W3CDTF">2026-08-17T15:44:32.299Z</dcterms:modified>
</cp:coreProperties>
</file>

<file path=docProps/custom.xml><?xml version="1.0" encoding="utf-8"?>
<Properties xmlns="http://schemas.openxmlformats.org/officeDocument/2006/custom-properties" xmlns:vt="http://schemas.openxmlformats.org/officeDocument/2006/docPropsVTypes"/>
</file>