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2 — Praktijk · Deel 20</w:t>
      </w:r>
    </w:p>
    <w:p>
      <w:pPr>
        <w:spacing w:after="300"/>
      </w:pPr>
      <w:r>
        <w:rPr>
          <w:rFonts w:ascii="Calibri" w:cs="Calibri" w:eastAsia="Calibri" w:hAnsi="Calibri"/>
          <w:b/>
          <w:bCs/>
          <w:color w:val="14213D"/>
          <w:sz w:val="32"/>
          <w:szCs w:val="32"/>
        </w:rPr>
        <w:t xml:space="preserve">Docentenhandleiding — Procesmining: model versus werkelijkheid</w:t>
      </w:r>
    </w:p>
    <w:p>
      <w:pPr>
        <w:pStyle w:val="Heading2"/>
        <w:pBdr>
          <w:bottom w:val="single" w:color="2563A8" w:sz="6" w:space="4"/>
        </w:pBdr>
        <w:spacing w:after="160" w:before="300"/>
      </w:pPr>
      <w:r>
        <w:rPr>
          <w:rFonts w:ascii="Calibri" w:cs="Calibri" w:eastAsia="Calibri" w:hAnsi="Calibri"/>
          <w:b/>
          <w:bCs/>
          <w:color w:val="2563A8"/>
          <w:sz w:val="24"/>
          <w:szCs w:val="24"/>
        </w:rPr>
        <w:t xml:space="preserve">Doel en positie</w:t>
      </w:r>
    </w:p>
    <w:p>
      <w:pPr>
        <w:spacing w:after="160" w:line="300"/>
        <w:jc w:val="left"/>
      </w:pPr>
      <w:r>
        <w:rPr>
          <w:rFonts w:ascii="Calibri" w:cs="Calibri" w:eastAsia="Calibri" w:hAnsi="Calibri"/>
          <w:b w:val="false"/>
          <w:bCs w:val="false"/>
          <w:i w:val="false"/>
          <w:iCs w:val="false"/>
          <w:color w:val="1A1A1A"/>
          <w:sz w:val="21"/>
          <w:szCs w:val="21"/>
        </w:rPr>
        <w:t xml:space="preserve">Dit deel is zo ontworpen dat het ook los, buiten het curriculum om, aangeboden kan worden — houd daar bij de afname rekening mee: als je dit deel binnen het volledige programma geeft, mag je op eerdere kennis (Deelnemermutaties, het to-be model uit deel 12) teruggrijpen; geef je het los, dan moet je de reader zoals hij er nu staat zelfstandig kunnen laten functioneren, inclusief de korte herhalingen van eerder behandelde begrippen.</w:t>
      </w:r>
    </w:p>
    <w:p>
      <w:pPr>
        <w:spacing w:after="160" w:line="300"/>
        <w:jc w:val="left"/>
      </w:pPr>
      <w:r>
        <w:rPr>
          <w:rFonts w:ascii="Calibri" w:cs="Calibri" w:eastAsia="Calibri" w:hAnsi="Calibri"/>
          <w:b/>
          <w:bCs/>
          <w:i w:val="false"/>
          <w:iCs w:val="false"/>
          <w:color w:val="1A1A1A"/>
          <w:sz w:val="21"/>
          <w:szCs w:val="21"/>
        </w:rPr>
        <w:t xml:space="preserve">Reserveer echt tijd voor logkwaliteit (opdracht 1).</w:t>
      </w:r>
      <w:r>
        <w:rPr>
          <w:rFonts w:ascii="Calibri" w:cs="Calibri" w:eastAsia="Calibri" w:hAnsi="Calibri"/>
          <w:b w:val="false"/>
          <w:bCs w:val="false"/>
          <w:i w:val="false"/>
          <w:iCs w:val="false"/>
          <w:color w:val="1A1A1A"/>
          <w:sz w:val="21"/>
          <w:szCs w:val="21"/>
        </w:rPr>
        <w:t xml:space="preserve"> Dit is de belangrijkste beroepsfout in procesmining: deelnemers willen meteen naar de uitkomst en slaan de kwaliteitscontrole over, waarna ze conclusies trekken uit een vervuilde bron. Laat dit niet gebeuren — opdracht 1 staat daarom bewust vóór opdracht 2, en niet ernaast.</w:t>
      </w:r>
    </w:p>
    <w:p>
      <w:pPr>
        <w:spacing w:after="160" w:line="300"/>
        <w:jc w:val="left"/>
      </w:pPr>
      <w:r>
        <w:rPr>
          <w:rFonts w:ascii="Calibri" w:cs="Calibri" w:eastAsia="Calibri" w:hAnsi="Calibri"/>
          <w:b/>
          <w:bCs/>
          <w:i w:val="false"/>
          <w:iCs w:val="false"/>
          <w:color w:val="1A1A1A"/>
          <w:sz w:val="21"/>
          <w:szCs w:val="21"/>
        </w:rPr>
        <w:t xml:space="preserve">Opdracht 3 is confronterend.</w:t>
      </w:r>
      <w:r>
        <w:rPr>
          <w:rFonts w:ascii="Calibri" w:cs="Calibri" w:eastAsia="Calibri" w:hAnsi="Calibri"/>
          <w:b w:val="false"/>
          <w:bCs w:val="false"/>
          <w:i w:val="false"/>
          <w:iCs w:val="false"/>
          <w:color w:val="1A1A1A"/>
          <w:sz w:val="21"/>
          <w:szCs w:val="21"/>
        </w:rPr>
        <w:t xml:space="preserve"> Het to-be model uit deel 12 blijkt vrijwel altijd niet perfect te kloppen met wat de log laat zien — soms omdat het model onvolledig was, soms omdat de werkelijkheid inmiddels is veranderd. Benoem dit vooraf expliciet als de bedoeling van de opdracht, anders voelt het voor deelnemers als een afrekening op eerder werk in plaats van als een leermoment.</w:t>
      </w: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 (dagdeel van 3,5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0:10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Introductie, positie van dit deel (los of binnen het programma)</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0:10 – 0:20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Omgeving: Retroductus, inloggen, een log uploaden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begeleid</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0:20 – 0:35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Wat is procesmining (§20.1), de event log (§20.2)</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20.1, 20.2</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0:35 – 0:55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Logkwaliteit (§20.3)</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20.3</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0:55 – 1:25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plenair nabespreken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1:25 – 1:40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1:40 – 2:00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Conformance checking (§20.4)</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20.4</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2:00 – 2:30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in Retroductus</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2:30 – 2:45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2:45 – 3:05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3</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in Retroductus</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3:05 – 3:20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Wie heeft gelijk (§20.5) — opdracht 4</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 + tweetallen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3:20 – 3:35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Van bevinding naar voorstel (§20.6), opdracht 5 als vervolgwerk aankondigen, §20.7 kort, opdracht 7</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 plenair</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Opdracht 5 en 6 passen niet volledig in het dagdeel naast opdracht 1 tot en met 4, die het praktische zwaartepunt vormen. Geef opdracht 5 (het bevindingenrapport) als vervolgwerk mee met een duidelijke inleverdatum; opdracht 6 kan zelfstandig, kort, worden toegevoegd.</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Beoordeel de log</w:t>
      </w:r>
    </w:p>
    <w:p>
      <w:pPr>
        <w:spacing w:after="160" w:line="300"/>
        <w:jc w:val="left"/>
      </w:pPr>
      <w:r>
        <w:rPr>
          <w:rFonts w:ascii="Calibri" w:cs="Calibri" w:eastAsia="Calibri" w:hAnsi="Calibri"/>
          <w:b w:val="false"/>
          <w:bCs w:val="false"/>
          <w:i w:val="false"/>
          <w:iCs w:val="false"/>
          <w:color w:val="1A1A1A"/>
          <w:sz w:val="21"/>
          <w:szCs w:val="21"/>
        </w:rPr>
        <w:t xml:space="preserve">Afhankelijk van de aangeleverde log. Verwacht bijvoorbeeld: een activiteit die in 15% van de cases ontbreekt terwijl de werkinstructie hem verplicht stelt (mogelijk een ontbrekend event, niet per se een niet-uitgevoerde stap); tijdstempels die buiten kantooruren liggen op een schaal die wijst op batchverwerking in plaats van het werkelijke moment van handelen; een activiteitnaam die inconsistent gespeld is tussen twee periodes in de log (een systeemupdate die de naamgeving wijzigde); enkele cases met een startdatum vóór het begin van de logperiode.</w:t>
      </w:r>
    </w:p>
    <w:p>
      <w:pPr>
        <w:spacing w:after="160" w:line="300"/>
        <w:jc w:val="left"/>
      </w:pPr>
      <w:r>
        <w:rPr>
          <w:rFonts w:ascii="Calibri" w:cs="Calibri" w:eastAsia="Calibri" w:hAnsi="Calibri"/>
          <w:b/>
          <w:bCs/>
          <w:i w:val="false"/>
          <w:iCs w:val="false"/>
          <w:color w:val="1A1A1A"/>
          <w:sz w:val="21"/>
          <w:szCs w:val="21"/>
        </w:rPr>
        <w:t xml:space="preserve">Bespreekpunt.</w:t>
      </w:r>
      <w:r>
        <w:rPr>
          <w:rFonts w:ascii="Calibri" w:cs="Calibri" w:eastAsia="Calibri" w:hAnsi="Calibri"/>
          <w:b w:val="false"/>
          <w:bCs w:val="false"/>
          <w:i w:val="false"/>
          <w:iCs w:val="false"/>
          <w:color w:val="1A1A1A"/>
          <w:sz w:val="21"/>
          <w:szCs w:val="21"/>
        </w:rPr>
        <w:t xml:space="preserve"> Laat expliciet zien wat er gebeurt als je deze problemen negeert: bijvoorbeeld, de "ontbrekende activiteit" zou bij de conformance-analyse in opdracht 2 als een grote afwijking naar voren komen, terwijl de werkelijke oorzaak een logginggat is, geen procesafwijking.</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Eerste conformance-run</w:t>
      </w:r>
    </w:p>
    <w:p>
      <w:pPr>
        <w:spacing w:after="160" w:line="300"/>
        <w:jc w:val="left"/>
      </w:pPr>
      <w:r>
        <w:rPr>
          <w:rFonts w:ascii="Calibri" w:cs="Calibri" w:eastAsia="Calibri" w:hAnsi="Calibri"/>
          <w:b w:val="false"/>
          <w:bCs w:val="false"/>
          <w:i w:val="false"/>
          <w:iCs w:val="false"/>
          <w:color w:val="1A1A1A"/>
          <w:sz w:val="21"/>
          <w:szCs w:val="21"/>
        </w:rPr>
        <w:t xml:space="preserve">Praktische opdracht, geen uniek antwoord. Loop rond en help bij technische vragen over de Retroductus-interface. Controleer of deelnemers de fitness-score correct interpreteren (een score zegt iets over de mate van overeenstemming, niet een absoluut oordeel "goed" of "fout" zonder context).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Je eigen model tegen de werkelijkheid</w:t>
      </w:r>
    </w:p>
    <w:p>
      <w:pPr>
        <w:spacing w:after="160" w:line="300"/>
        <w:jc w:val="left"/>
      </w:pPr>
      <w:r>
        <w:rPr>
          <w:rFonts w:ascii="Calibri" w:cs="Calibri" w:eastAsia="Calibri" w:hAnsi="Calibri"/>
          <w:b w:val="false"/>
          <w:bCs w:val="false"/>
          <w:i w:val="false"/>
          <w:iCs w:val="false"/>
          <w:color w:val="1A1A1A"/>
          <w:sz w:val="21"/>
          <w:szCs w:val="21"/>
        </w:rPr>
        <w:t xml:space="preserve">Geen uniek antwoord — elke deelnemer werkt met zijn eigen deel 12-model. Kernpunt van begeleiding: normaliseer een lage fitness-score. Een deelnemer die schrikt van een slechte uitkomst, moet begrijpen dat dit precies de informatie is die het ontwerp sterker maakt vóór de capstone, niet een teken dat het werk uit deel 12 mislukt was.</w:t>
      </w:r>
    </w:p>
    <w:p>
      <w:pPr>
        <w:spacing w:after="160" w:line="300"/>
        <w:jc w:val="left"/>
      </w:pPr>
      <w:r>
        <w:rPr>
          <w:rFonts w:ascii="Calibri" w:cs="Calibri" w:eastAsia="Calibri" w:hAnsi="Calibri"/>
          <w:b/>
          <w:bCs/>
          <w:i w:val="false"/>
          <w:iCs w:val="false"/>
          <w:color w:val="1A1A1A"/>
          <w:sz w:val="21"/>
          <w:szCs w:val="21"/>
        </w:rPr>
        <w:t xml:space="preserve">Signaal om op te letten.</w:t>
      </w:r>
      <w:r>
        <w:rPr>
          <w:rFonts w:ascii="Calibri" w:cs="Calibri" w:eastAsia="Calibri" w:hAnsi="Calibri"/>
          <w:b w:val="false"/>
          <w:bCs w:val="false"/>
          <w:i w:val="false"/>
          <w:iCs w:val="false"/>
          <w:color w:val="1A1A1A"/>
          <w:sz w:val="21"/>
          <w:szCs w:val="21"/>
        </w:rPr>
        <w:t xml:space="preserve"> Een deelnemer die alle afwijkingen zonder nadenken als "verouderd model" classificeert (categorie 1 uit §20.5), heeft de derde, vaak juiste categorie (legitieme niet-vastgelegde variant) nog niet geïnternaliseerd — bevraag dit expliciet.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Wie heeft gelijk</w:t>
      </w:r>
    </w:p>
    <w:p>
      <w:pPr>
        <w:spacing w:after="160" w:line="300"/>
        <w:jc w:val="left"/>
      </w:pPr>
      <w:r>
        <w:rPr>
          <w:rFonts w:ascii="Calibri" w:cs="Calibri" w:eastAsia="Calibri" w:hAnsi="Calibri"/>
          <w:b w:val="false"/>
          <w:bCs w:val="false"/>
          <w:i w:val="false"/>
          <w:iCs w:val="false"/>
          <w:color w:val="1A1A1A"/>
          <w:sz w:val="21"/>
          <w:szCs w:val="21"/>
        </w:rPr>
        <w:t xml:space="preserve">Verwacht per scenario een classificatie met een aanwijzing in de tekst die naar die conclusie wijst — bijvoorbeeld: een afwijking die alleen bij een specifieke, herkenbare deelverzameling van cases voorkomt (wijst op een legitieme variant, geen algemene modelfout); een afwijking die na een bepaalde datum verdwijnt (wijst op een systeemwijziging, mogelijk een verouderd model dat inmiddels alweer is ingehaald door de praktijk); een afwijking die willekeurig verspreid is over alle behandelaars zonder patroon (wijst eerder op inconsistente uitvoering dan op een structurele modelfout).</w:t>
      </w:r>
    </w:p>
    <w:p>
      <w:pPr>
        <w:spacing w:after="160" w:line="300"/>
        <w:jc w:val="left"/>
      </w:pPr>
      <w:r>
        <w:rPr>
          <w:rFonts w:ascii="Calibri" w:cs="Calibri" w:eastAsia="Calibri" w:hAnsi="Calibri"/>
          <w:b/>
          <w:bCs/>
          <w:i w:val="false"/>
          <w:iCs w:val="false"/>
          <w:color w:val="1A1A1A"/>
          <w:sz w:val="21"/>
          <w:szCs w:val="21"/>
        </w:rPr>
        <w:t xml:space="preserve">Bespreekpunt.</w:t>
      </w:r>
      <w:r>
        <w:rPr>
          <w:rFonts w:ascii="Calibri" w:cs="Calibri" w:eastAsia="Calibri" w:hAnsi="Calibri"/>
          <w:b w:val="false"/>
          <w:bCs w:val="false"/>
          <w:i w:val="false"/>
          <w:iCs w:val="false"/>
          <w:color w:val="1A1A1A"/>
          <w:sz w:val="21"/>
          <w:szCs w:val="21"/>
        </w:rPr>
        <w:t xml:space="preserve"> Dit is het meest leerzame moment van het deel als het gaat om de derde categorie: laat tweetallen expliciet beargumenteren waarom een afwijking wél of niet een legitieme variant is, in plaats van automatisch naar de meest voor de hand liggende verklaring te grijpen.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Bevindingenrapport</w:t>
      </w:r>
    </w:p>
    <w:p>
      <w:pPr>
        <w:spacing w:after="160" w:line="300"/>
        <w:jc w:val="left"/>
      </w:pPr>
      <w:r>
        <w:rPr>
          <w:rFonts w:ascii="Calibri" w:cs="Calibri" w:eastAsia="Calibri" w:hAnsi="Calibri"/>
          <w:b w:val="false"/>
          <w:bCs w:val="false"/>
          <w:i w:val="false"/>
          <w:iCs w:val="false"/>
          <w:color w:val="1A1A1A"/>
          <w:sz w:val="21"/>
          <w:szCs w:val="21"/>
        </w:rPr>
        <w:t xml:space="preserve">Geen uniek antwoord. Beoordeel op:</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Is voor elke bevinding daadwerkelijk een van de drie uitkomsten uit §20.6 gekozen, met motivatie — niet alleen "hier is een afwijking" zonder vervolg?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Is het rapport leesbaar voor een proceseigenaar zonder mining-achtergrond (vermijdt het onnodig jargon, of legt het uit waar nodig)?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Is "bewust niets doen" bij minstens één bevinding overwogen als optie, in plaats van bij elke afwijking automatisch actie voor te stellen? Een rapport dat voor elke afwijking ingrijpen adviseert, heeft de proportionaliteitsafweging uit §20.6 gemist.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Grenzen van mining</w:t>
      </w:r>
    </w:p>
    <w:p>
      <w:pPr>
        <w:spacing w:after="160" w:line="300"/>
        <w:jc w:val="left"/>
      </w:pPr>
      <w:r>
        <w:rPr>
          <w:rFonts w:ascii="Calibri" w:cs="Calibri" w:eastAsia="Calibri" w:hAnsi="Calibri"/>
          <w:b w:val="false"/>
          <w:bCs w:val="false"/>
          <w:i w:val="false"/>
          <w:iCs w:val="false"/>
          <w:color w:val="1A1A1A"/>
          <w:sz w:val="21"/>
          <w:szCs w:val="21"/>
        </w:rPr>
        <w:t xml:space="preserve">Verwacht vragen als: "waarom volgen medewerkers dit pad" (vereist interviews of observatie, deel 12), "is de kwaliteit van het resultaat ook beïnvloed" (vereist aanvullende data over uitkomsten, niet alleen over volgorde), "zou een andere aanpak sneller zijn" (vereist simulatie, niveau 3, deel 24). Beoordeel of de deelnemer het onderscheid tussen "wat mining wel kan" en "wat aanvullend onderzoek vereist" scherp maakt.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7 — Stellingen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Sterk verdedigbaar en de kern van §20.5 — met de nuance dat "de werkelijkheid heeft gelijk" niet betekent dat elke afwijking geformaliseerd moet worden; het betekent dat je de afwijking serieus neemt als startpunt van onderzoek in plaats van hem als fout weg te zetten.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Herhaling van de reader se kernboodschap — breed gedragen.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Realistisch tegenargument om te bespreken: logkwaliteitscontrole kost tijd, maar de kosten van foute conclusies op basis van een ongecontroleerde log zijn doorgaans hoger. Een goede middenpositie: schaal de kwaliteitscontrole naar het gewicht van de beslissing die op de analyse volgt.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Prikkelend en een goede afsluitende discussie — vraag door naar wat "verplicht" praktisch zou betekenen (frequentie, wie voert het uit, wat kost het) in plaats van het bij een principiële uitspraak te laten.</w:t>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Veelgemaakte fouten in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Logkwaliteit overslaan</w:t>
      </w:r>
      <w:r>
        <w:rPr>
          <w:rFonts w:ascii="Calibri" w:cs="Calibri" w:eastAsia="Calibri" w:hAnsi="Calibri"/>
          <w:b w:val="false"/>
          <w:bCs w:val="false"/>
          <w:i w:val="false"/>
          <w:iCs w:val="false"/>
          <w:color w:val="1A1A1A"/>
          <w:sz w:val="21"/>
          <w:szCs w:val="21"/>
        </w:rPr>
        <w:t xml:space="preserve"> — de belangrijkste beroepsfout in dit vak, zie de opening van deze handleiding.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Elke afwijking als "verouderd model" classificeren</w:t>
      </w:r>
      <w:r>
        <w:rPr>
          <w:rFonts w:ascii="Calibri" w:cs="Calibri" w:eastAsia="Calibri" w:hAnsi="Calibri"/>
          <w:b w:val="false"/>
          <w:bCs w:val="false"/>
          <w:i w:val="false"/>
          <w:iCs w:val="false"/>
          <w:color w:val="1A1A1A"/>
          <w:sz w:val="21"/>
          <w:szCs w:val="21"/>
        </w:rPr>
        <w:t xml:space="preserve"> zonder de andere twee categorieën te overwegen — zie het signaal bij opdracht 3.</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Een miningrapport zonder concreet voorstel opleveren</w:t>
      </w:r>
      <w:r>
        <w:rPr>
          <w:rFonts w:ascii="Calibri" w:cs="Calibri" w:eastAsia="Calibri" w:hAnsi="Calibri"/>
          <w:b w:val="false"/>
          <w:bCs w:val="false"/>
          <w:i w:val="false"/>
          <w:iCs w:val="false"/>
          <w:color w:val="1A1A1A"/>
          <w:sz w:val="21"/>
          <w:szCs w:val="21"/>
        </w:rPr>
        <w:t xml:space="preserve"> — de kern van opdracht 5's beoordelingscriterium.</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Voor elke afwijking actie voorstellen</w:t>
      </w:r>
      <w:r>
        <w:rPr>
          <w:rFonts w:ascii="Calibri" w:cs="Calibri" w:eastAsia="Calibri" w:hAnsi="Calibri"/>
          <w:b w:val="false"/>
          <w:bCs w:val="false"/>
          <w:i w:val="false"/>
          <w:iCs w:val="false"/>
          <w:color w:val="1A1A1A"/>
          <w:sz w:val="21"/>
          <w:szCs w:val="21"/>
        </w:rPr>
        <w:t xml:space="preserve"> zonder de proportionaliteitsafweging (bewust niets doen als geldige uitkomst) te overwegen.</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Criterium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Goed</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Logkwaliteit</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Slaat de controle over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Identificeert de meeste problemen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Identificeert problemen en benoemt expliciet welke conclusie ze zouden vervuilen</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Conformance-interpretatie</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Leest de fitness-score als absoluut oordeel</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Interpreteert de score met context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Clustert afwijkingen op frequentie, onderscheidt structureel van incidenteel</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Classificatie (wie heeft gelijk)</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Kiest automatisch de meest voor de hand liggende verklaring</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Overweegt meerdere categorieën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Beargumenteert de classificatie met concrete aanwijzingen uit de data</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Bevindingenrapport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Alleen bevindingen, geen voorstel</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Voorstel per bevinding, generiek</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Voorstel per bevinding, proportioneel (inclusief "niets doen" waar passend), leesbaar voor de doelgroep</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Benodigdheden</w:t>
      </w:r>
    </w:p>
    <w:p>
      <w:pPr>
        <w:spacing w:after="160" w:line="300"/>
        <w:jc w:val="left"/>
      </w:pPr>
      <w:r>
        <w:rPr>
          <w:rFonts w:ascii="Calibri" w:cs="Calibri" w:eastAsia="Calibri" w:hAnsi="Calibri"/>
          <w:b w:val="false"/>
          <w:bCs w:val="false"/>
          <w:i w:val="false"/>
          <w:iCs w:val="false"/>
          <w:color w:val="1A1A1A"/>
          <w:sz w:val="21"/>
          <w:szCs w:val="21"/>
        </w:rPr>
        <w:t xml:space="preserve">Werkboek per deelnemer, toegang tot Retroductus voor elke deelnemer (vooraf gecontroleerd), de event log voor Deelnemermutaties als uitgereikt bestand (met en zonder de kwaliteitsproblemen van opdracht 1, afhankelijk van welke variant je gebruikt), het referentiemodel voor Deelnemermutaties beschikbaar voor import, vijf scenariobeschrijvingen voor opdracht 4 als uitgereikt document.</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20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2026-08-17T15:44:34.611Z</dcterms:created>
  <dcterms:modified xsi:type="dcterms:W3CDTF">2026-08-17T15:44:34.612Z</dcterms:modified>
</cp:coreProperties>
</file>

<file path=docProps/custom.xml><?xml version="1.0" encoding="utf-8"?>
<Properties xmlns="http://schemas.openxmlformats.org/officeDocument/2006/custom-properties" xmlns:vt="http://schemas.openxmlformats.org/officeDocument/2006/docPropsVTypes"/>
</file>