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Meesterschap · Deel 23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Enterprise-procesarchitectuur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individueel, opdracht 2 individueel, opdracht 3 (deliverable) individueel, opdracht 4 (kerndeliverable) individueel met verwerkingstijd, opdracht 5 in tweetallen, opdracht 6 individueel, opdracht 7 plenair. Twee dagdelen van 3,5 uur; raadpleeg `casusdossier-stelselovergang.md` §8 voor de Meridiaan-parameters.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Positioneer de lagen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Plaats tien artefacten uit niveau 1 en 2 (bijvoorbeeld: de procesarchitectuur uit deel 11, het hybride referentiemodel uit deel 18, de regelrepository uit deel 16, het Mutatieplatform zelf) in het EA-lagenmodel uit §23.1. Benoem per artefact expliciet in welke laag het zit en waarom.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ArchiMate of BPMN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Acht situaties (uitgereikt document). Bepaal per situatie welke taal het meest geschikt is, en beargumenteer elke keuze in één zin volgens het kader uit §23.4.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Traceerbaarheidsketen bouwen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Bouw de keten capability → proces → applicatie voor drie capabilities binnen Meridiaan. Benoem expliciet welke schakels ontbreken of onzeker zijn — een keten zonder erkende gaten is minder waard dan een keten die haar eigen blinde vlekken toont.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Impactanalyse legacy-vervanging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vast welke processen geraakt worden door vervanging van het legacy-polisadministratiesysteem (deel 14, §14.7). Lever per bevinding een betrouwbaarheidsoordeel: hoog (traceerbaarheidsketen compleet en actueel), gemiddeld (keten aanwezig maar deels verouderd), laag (geen keten, aanname op basis van interviews). Maximaal drie pagina's.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Twee toestanden tegelijk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Modelleer het landschap met drie afdelingen op het Mutatieplatform en twee (Klachten &amp; Bezwaren, Bijzondere Situaties) nog op het legacy-landschap. Markeer voor elk procesonderdeel welk uitvoeringsplatform het gebruikt — het Locked Platform of Conductus (§23.7) — en wat dat betekent voor een impactanalyse die dit landschap doorkruist.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Repositorykoppeling ontwerpen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Kies tussen synchroniseren en een expliciete brug (§23.6) voor de koppeling tussen EA-repository en procesrepository bij Meridiaan. Verdedig de keuze in maximaal een halve pagina: wat kost hij, wat levert hij op, en wie draagt het onderhoud?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traceerbaarheidsketen die je niet actueel kunt houden, is misleidender dan geen keten.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ArchiMate en BPMN door elkaar gebruiken is nooit een compromis, altijd een verlies.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impactanalyse zonder betrouwbaarheidsoordeel is een gok die eruitziet als een feit.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architectuurfunctie hoort de eigenaar van de repositorykoppeling te zijn, niet de procesbeheerder.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24 gaat een niveau specifieker: referentiemodellen en sectorstandaarden als startpunt voor een eigen referentiearchitectuur — het lichtste deel van niveau 3 qua denkwerk, bewust geplaatst na de zware opgave van vandaag. De traceerbaarheidsketen van opdracht 3 komt daar terug als basis voor het meten van hergebruik.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23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2026-08-17T15:44:37.362Z</dcterms:created>
  <dcterms:modified xsi:type="dcterms:W3CDTF">2026-08-17T15:44:37.363Z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