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3 — Meesterschap · Deel 24</w:t>
      </w:r>
    </w:p>
    <w:p>
      <w:pPr>
        <w:spacing w:after="300"/>
      </w:pPr>
      <w:r>
        <w:rPr>
          <w:rFonts w:ascii="Calibri" w:cs="Calibri" w:eastAsia="Calibri" w:hAnsi="Calibri"/>
          <w:b/>
          <w:bCs/>
          <w:color w:val="14213D"/>
          <w:sz w:val="32"/>
          <w:szCs w:val="32"/>
        </w:rPr>
        <w:t xml:space="preserve">Docentenhandleiding — Referentiemodellen en sectorstandaarden</w:t>
      </w:r>
    </w:p>
    <w:p>
      <w:pPr>
        <w:pStyle w:val="Heading2"/>
        <w:pBdr>
          <w:bottom w:val="single" w:color="2563A8" w:sz="6" w:space="4"/>
        </w:pBdr>
        <w:spacing w:after="160" w:before="300"/>
      </w:pPr>
      <w:r>
        <w:rPr>
          <w:rFonts w:ascii="Calibri" w:cs="Calibri" w:eastAsia="Calibri" w:hAnsi="Calibri"/>
          <w:b/>
          <w:bCs/>
          <w:color w:val="2563A8"/>
          <w:sz w:val="24"/>
          <w:szCs w:val="24"/>
        </w:rPr>
        <w:t xml:space="preserve">Doel en positie</w:t>
      </w:r>
    </w:p>
    <w:p>
      <w:pPr>
        <w:spacing w:after="160" w:line="300"/>
        <w:jc w:val="left"/>
      </w:pPr>
      <w:r>
        <w:rPr>
          <w:rFonts w:ascii="Calibri" w:cs="Calibri" w:eastAsia="Calibri" w:hAnsi="Calibri"/>
          <w:b w:val="false"/>
          <w:bCs w:val="false"/>
          <w:i w:val="false"/>
          <w:iCs w:val="false"/>
          <w:color w:val="1A1A1A"/>
          <w:sz w:val="21"/>
          <w:szCs w:val="21"/>
        </w:rPr>
        <w:t xml:space="preserve">Het lichtste deel van niveau 3 qua denkwerk, bewust geplaatst na het zware deel 23. Waar deel 23 een landschap van de grond af liet opbouwen, gaat dit deel over hergebruiken wat al bestaat — een andere denkstijl, en een welkome afwisseling voor de deelnemer. Open met een korte erkenning van dat verschil: dit deel vraagt minder van het eigen ontwerpvermogen en meer van kritisch beoordelingsvermogen.</w:t>
      </w:r>
    </w:p>
    <w:p>
      <w:pPr>
        <w:pStyle w:val="Heading2"/>
        <w:pBdr>
          <w:bottom w:val="single" w:color="2563A8" w:sz="6" w:space="4"/>
        </w:pBdr>
        <w:spacing w:after="160" w:before="300"/>
      </w:pPr>
      <w:r>
        <w:rPr>
          <w:rFonts w:ascii="Calibri" w:cs="Calibri" w:eastAsia="Calibri" w:hAnsi="Calibri"/>
          <w:b/>
          <w:bCs/>
          <w:color w:val="2563A8"/>
          <w:sz w:val="24"/>
          <w:szCs w:val="24"/>
        </w:rPr>
        <w:t xml:space="preserve">Tijdschema (dagdeel van 3,5 uur)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Tijd</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Werkvorm</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0:00 – 0:15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Terugblik deel 23, aankondiging lichter deel</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Plenair</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0:15 – 0:35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§24.1-24.2 Wat een referentiemodel oplost, de generieke modellen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24.1</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0:35 – 0:55</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1</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0:55 – 1:15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§24.3-24.4 Financiële sector, Nederlandse standaarden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1:15 – 1:30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1:30 – 1:55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§24.5 Tailoren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24.2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1:55 – 2:20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2</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2:20 – 2:45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Opdracht 3</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Individueel</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2:45 – 3:00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Pauze</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3:00 – 3:15</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§24.6 Een eigen referentiearchitectuur</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Presentatie, figuur 24.4, 24.5</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3:15 – 3:30</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Opdracht 4 starten, opdracht 5 en 6 als huiswerk aankondigen, vooruitblik</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Individueel + plenair</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Opdracht 4 (kerndeliverable) loopt door na het dagdeel; opdracht 5 kan als korte tweetallen-oefening aan het begin van deel 25 worden nabesproken als de tijd in dit dagdeel ontbreekt.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Match het model</w:t>
      </w:r>
    </w:p>
    <w:p>
      <w:pPr>
        <w:spacing w:after="160" w:line="300"/>
        <w:jc w:val="left"/>
      </w:pPr>
      <w:r>
        <w:rPr>
          <w:rFonts w:ascii="Calibri" w:cs="Calibri" w:eastAsia="Calibri" w:hAnsi="Calibri"/>
          <w:b w:val="false"/>
          <w:bCs w:val="false"/>
          <w:i w:val="false"/>
          <w:iCs w:val="false"/>
          <w:color w:val="1A1A1A"/>
          <w:sz w:val="21"/>
          <w:szCs w:val="21"/>
        </w:rPr>
        <w:t xml:space="preserve">Geen uniek antwoord, wel een duidelijk verwacht patroon: APQC PCF als generiek startpunt voor de meeste situaties, BIAN/ACORD waar de situatie expliciet financieel-sectoraal is, en de Nederlandse pensioenspecifieke afspraken waar het om gegevensuitwisseling in de keten gaat. Corrigeer deelnemers die menen dat één model overal het beste startpunt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Tailoring-analyse</w:t>
      </w:r>
    </w:p>
    <w:p>
      <w:pPr>
        <w:spacing w:after="160" w:line="300"/>
        <w:jc w:val="left"/>
      </w:pPr>
      <w:r>
        <w:rPr>
          <w:rFonts w:ascii="Calibri" w:cs="Calibri" w:eastAsia="Calibri" w:hAnsi="Calibri"/>
          <w:b/>
          <w:bCs/>
          <w:i w:val="false"/>
          <w:iCs w:val="false"/>
          <w:color w:val="1A1A1A"/>
          <w:sz w:val="21"/>
          <w:szCs w:val="21"/>
        </w:rPr>
        <w:t xml:space="preserve">Opdracht 2 is het scherpst en raakt aan organisatiepolitiek.</w:t>
      </w:r>
      <w:r>
        <w:rPr>
          <w:rFonts w:ascii="Calibri" w:cs="Calibri" w:eastAsia="Calibri" w:hAnsi="Calibri"/>
          <w:b w:val="false"/>
          <w:bCs w:val="false"/>
          <w:i w:val="false"/>
          <w:iCs w:val="false"/>
          <w:color w:val="1A1A1A"/>
          <w:sz w:val="21"/>
          <w:szCs w:val="21"/>
        </w:rPr>
        <w:t xml:space="preserve"> Verwacht dat sommige "historisch gegroeide" afwijkingen bij nadere blik een goede — maar nooit vastgelegde — reden blijken te hebben, en dat andere daadwerkelijk zonder reden zijn blijven bestaan. Laat deelnemers formuleren hoe ze het gesprek met het betreffende afdelingshoofd zouden voeren om dat onderscheid boven tafel te krijgen — dat gesprek, niet de analyse zelf, is de eigenlijke vaardigheid die hier getoetst wordt.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Ketenstandaard vaststellen</w:t>
      </w:r>
    </w:p>
    <w:p>
      <w:pPr>
        <w:spacing w:after="160" w:line="300"/>
        <w:jc w:val="left"/>
      </w:pPr>
      <w:r>
        <w:rPr>
          <w:rFonts w:ascii="Calibri" w:cs="Calibri" w:eastAsia="Calibri" w:hAnsi="Calibri"/>
          <w:b w:val="false"/>
          <w:bCs w:val="false"/>
          <w:i w:val="false"/>
          <w:iCs w:val="false"/>
          <w:color w:val="1A1A1A"/>
          <w:sz w:val="21"/>
          <w:szCs w:val="21"/>
        </w:rPr>
        <w:t xml:space="preserve">Beoordeel op een concreet proces (wie raadpleeg je eerst, wat als partijen het oneens blijven, hoe documenteer je de uitkomst), niet op een enkel antwoord "standaard X is leidend".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Eigen referentiearchitectuur</w:t>
      </w:r>
    </w:p>
    <w:p>
      <w:pPr>
        <w:spacing w:after="160" w:line="300"/>
        <w:jc w:val="left"/>
      </w:pPr>
      <w:r>
        <w:rPr>
          <w:rFonts w:ascii="Calibri" w:cs="Calibri" w:eastAsia="Calibri" w:hAnsi="Calibri"/>
          <w:b w:val="false"/>
          <w:bCs w:val="false"/>
          <w:i w:val="false"/>
          <w:iCs w:val="false"/>
          <w:color w:val="1A1A1A"/>
          <w:sz w:val="21"/>
          <w:szCs w:val="21"/>
        </w:rPr>
        <w:t xml:space="preserve">Geen modelantwoord. Controleer of de bibliotheekopzet daadwerkelijk voortbouwt op het hybride referentiemodel uit deel 18 in plaats van bij nul te beginnen, of onderhoud een aangewezen rol heeft (koppel aan de procesbeheerder-rol uit deel 21, §21.1), en of de hergebruikmeting concreet genoeg is om morgen te kunnen starten.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Hergebruik meten</w:t>
      </w:r>
    </w:p>
    <w:p>
      <w:pPr>
        <w:spacing w:after="160" w:line="300"/>
        <w:jc w:val="left"/>
      </w:pPr>
      <w:r>
        <w:rPr>
          <w:rFonts w:ascii="Calibri" w:cs="Calibri" w:eastAsia="Calibri" w:hAnsi="Calibri"/>
          <w:b w:val="false"/>
          <w:bCs w:val="false"/>
          <w:i w:val="false"/>
          <w:iCs w:val="false"/>
          <w:color w:val="1A1A1A"/>
          <w:sz w:val="21"/>
          <w:szCs w:val="21"/>
        </w:rPr>
        <w:t xml:space="preserve">Verwacht dat de meeste deelnemers in eerste instantie alleen "wat levert de indicator op" beschrijven zonder het manipulatierisico te benoemen — dat is precies de denkstap uit deel 21, §21.3 die hier herhaald wordt op een nieuw type indicator.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Sterk verdedigbaar, kernboodschap van §24.1 en §24.5.</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Breed gedragen, sluit direct aan op opdracht 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Nuance nodig: een goed geïntroduceerde bibliotheek met lage bekendheid is een adoptieprobleem, geen metingprobleem — de stelling verwart de twee.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Prikkelend, een goede opwarmer voor discussie over besluitvorming in deel 29.</w:t>
      </w:r>
    </w:p>
    <w:p>
      <w:pPr>
        <w:pStyle w:val="Heading2"/>
        <w:pBdr>
          <w:bottom w:val="single" w:color="2563A8" w:sz="6" w:space="4"/>
        </w:pBdr>
        <w:spacing w:after="160" w:before="300"/>
      </w:pPr>
      <w:r>
        <w:rPr>
          <w:rFonts w:ascii="Calibri" w:cs="Calibri" w:eastAsia="Calibri" w:hAnsi="Calibri"/>
          <w:b/>
          <w:bCs/>
          <w:color w:val="2563A8"/>
          <w:sz w:val="24"/>
          <w:szCs w:val="24"/>
        </w:rPr>
        <w:t xml:space="preserve">Veelgemaakte fouten in dit deel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Eén referentiemodel als universele oplossing behandelen</w:t>
      </w:r>
      <w:r>
        <w:rPr>
          <w:rFonts w:ascii="Calibri" w:cs="Calibri" w:eastAsia="Calibri" w:hAnsi="Calibri"/>
          <w:b w:val="false"/>
          <w:bCs w:val="false"/>
          <w:i w:val="false"/>
          <w:iCs w:val="false"/>
          <w:color w:val="1A1A1A"/>
          <w:sz w:val="21"/>
          <w:szCs w:val="21"/>
        </w:rPr>
        <w:t xml:space="preserve"> in plaats van per situatie te kiezen — zie opdracht 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Historisch gegroeide afwijkingen zonder gesprek afkeuren</w:t>
      </w:r>
      <w:r>
        <w:rPr>
          <w:rFonts w:ascii="Calibri" w:cs="Calibri" w:eastAsia="Calibri" w:hAnsi="Calibri"/>
          <w:b w:val="false"/>
          <w:bCs w:val="false"/>
          <w:i w:val="false"/>
          <w:iCs w:val="false"/>
          <w:color w:val="1A1A1A"/>
          <w:sz w:val="21"/>
          <w:szCs w:val="21"/>
        </w:rPr>
        <w:t xml:space="preserve"> in plaats van eerst te onderzoeken of er een onbenoemde reden achter zit — de kern van opdracht 2.</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Een referentiearchitectuur ontwerpen zonder onderhoudsrol</w:t>
      </w:r>
      <w:r>
        <w:rPr>
          <w:rFonts w:ascii="Calibri" w:cs="Calibri" w:eastAsia="Calibri" w:hAnsi="Calibri"/>
          <w:b w:val="false"/>
          <w:bCs w:val="false"/>
          <w:i w:val="false"/>
          <w:iCs w:val="false"/>
          <w:color w:val="1A1A1A"/>
          <w:sz w:val="21"/>
          <w:szCs w:val="21"/>
        </w:rPr>
        <w:t xml:space="preserve"> — dezelfde valkuil als een governancestructuur zonder eigenaar (deel 21).</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Hergebruikindicatoren voorstellen zonder manipulatierisico</w:t>
      </w:r>
      <w:r>
        <w:rPr>
          <w:rFonts w:ascii="Calibri" w:cs="Calibri" w:eastAsia="Calibri" w:hAnsi="Calibri"/>
          <w:b w:val="false"/>
          <w:bCs w:val="false"/>
          <w:i w:val="false"/>
          <w:iCs w:val="false"/>
          <w:color w:val="1A1A1A"/>
          <w:sz w:val="21"/>
          <w:szCs w:val="21"/>
        </w:rPr>
        <w:t xml:space="preserve"> — zie opdracht 5.</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Criterium</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Voldoende</w:t>
            </w:r>
          </w:p>
        </w:tc>
        <w:tc>
          <w:tcPr>
            <w:tcW w:type="dxa" w:w="225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Goed</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Modelkeuze</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Willekeurig of één model overal toegepast</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Redelijke keuze, summier beargumenteerd</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Keuze per situatie, expliciet beargumenteerd volgens §24.2-24.4</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Tailoring-analyse</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onderscheid functioneel/historisch</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Onderscheid benoemd, niet uitgewerkt</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Onderscheid concreet uitgewerkt, met een voorstel voor het gesprek</w:t>
            </w:r>
          </w:p>
        </w:tc>
      </w:tr>
      <w:tr>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Referentiearchitectuur</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Geen onderhoudsrol of meetplan</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Eén van beide aanwezig</w:t>
            </w:r>
          </w:p>
        </w:tc>
        <w:tc>
          <w:tcPr>
            <w:tcW w:type="dxa" w:w="225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Onderhoudsrol én meetplan, voortbouwend op deel 18 en 21</w:t>
            </w:r>
          </w:p>
        </w:tc>
      </w:tr>
      <w:tr>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Hergebruikindicatoren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Geen manipulatierisico benoemd</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Risico benoemd, algemeen</w:t>
            </w:r>
          </w:p>
        </w:tc>
        <w:tc>
          <w:tcPr>
            <w:tcW w:type="dxa" w:w="225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Risico per indicator concreet benoemd</w:t>
            </w:r>
          </w:p>
        </w:tc>
      </w:tr>
    </w:tbl>
    <w:p>
      <w:pPr>
        <w:spacing w:before="200"/>
      </w:pPr>
    </w:p>
    <w:p>
      <w:pPr>
        <w:pStyle w:val="Heading2"/>
        <w:pBdr>
          <w:bottom w:val="single" w:color="2563A8" w:sz="6" w:space="4"/>
        </w:pBdr>
        <w:spacing w:after="160" w:before="300"/>
      </w:pPr>
      <w:r>
        <w:rPr>
          <w:rFonts w:ascii="Calibri" w:cs="Calibri" w:eastAsia="Calibri" w:hAnsi="Calibri"/>
          <w:b/>
          <w:bCs/>
          <w:color w:val="2563A8"/>
          <w:sz w:val="24"/>
          <w:szCs w:val="24"/>
        </w:rPr>
        <w:t xml:space="preserve">Benodigdheden</w:t>
      </w:r>
    </w:p>
    <w:p>
      <w:pPr>
        <w:spacing w:after="160" w:line="300"/>
        <w:jc w:val="left"/>
      </w:pPr>
      <w:r>
        <w:rPr>
          <w:rFonts w:ascii="Calibri" w:cs="Calibri" w:eastAsia="Calibri" w:hAnsi="Calibri"/>
          <w:b w:val="false"/>
          <w:bCs w:val="false"/>
          <w:i w:val="false"/>
          <w:iCs w:val="false"/>
          <w:color w:val="1A1A1A"/>
          <w:sz w:val="21"/>
          <w:szCs w:val="21"/>
        </w:rPr>
        <w:t xml:space="preserve">Werkboek per deelnemer, vijf situaties voor opdracht 1 als uitgereikt document, referentieprocesbeschrijving en Meridiaan-praktijkbeschrijving voor opdracht 2 als uitgereikt document, het hybride referentiemodel van elke deelnemer uit deel 18 beschikbaar.</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24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2026-08-17T15:44:38.592Z</dcterms:created>
  <dcterms:modified xsi:type="dcterms:W3CDTF">2026-08-17T15:44:38.593Z</dcterms:modified>
</cp:coreProperties>
</file>

<file path=docProps/custom.xml><?xml version="1.0" encoding="utf-8"?>
<Properties xmlns="http://schemas.openxmlformats.org/officeDocument/2006/custom-properties" xmlns:vt="http://schemas.openxmlformats.org/officeDocument/2006/docPropsVTypes"/>
</file>