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3 — Meesterschap · Deel 26</w:t>
      </w:r>
    </w:p>
    <w:p>
      <w:pPr>
        <w:spacing w:after="300"/>
      </w:pPr>
      <w:r>
        <w:rPr>
          <w:rFonts w:ascii="Calibri" w:cs="Calibri" w:eastAsia="Calibri" w:hAnsi="Calibri"/>
          <w:b/>
          <w:bCs/>
          <w:color w:val="14213D"/>
          <w:sz w:val="32"/>
          <w:szCs w:val="32"/>
        </w:rPr>
        <w:t xml:space="preserve">Docentenhandleiding — Compliance, risk en control in modellen</w:t>
      </w:r>
    </w:p>
    <w:p>
      <w:pPr>
        <w:pStyle w:val="Heading2"/>
        <w:pBdr>
          <w:bottom w:val="single" w:color="2563A8" w:sz="6" w:space="4"/>
        </w:pBdr>
        <w:spacing w:after="160" w:before="300"/>
      </w:pPr>
      <w:r>
        <w:rPr>
          <w:rFonts w:ascii="Calibri" w:cs="Calibri" w:eastAsia="Calibri" w:hAnsi="Calibri"/>
          <w:b/>
          <w:bCs/>
          <w:color w:val="2563A8"/>
          <w:sz w:val="24"/>
          <w:szCs w:val="24"/>
        </w:rPr>
        <w:t xml:space="preserve">Doel en positie</w:t>
      </w:r>
    </w:p>
    <w:p>
      <w:pPr>
        <w:spacing w:after="160" w:line="300"/>
        <w:jc w:val="left"/>
      </w:pPr>
      <w:r>
        <w:rPr>
          <w:rFonts w:ascii="Calibri" w:cs="Calibri" w:eastAsia="Calibri" w:hAnsi="Calibri"/>
          <w:b w:val="false"/>
          <w:bCs w:val="false"/>
          <w:i w:val="false"/>
          <w:iCs w:val="false"/>
          <w:color w:val="1A1A1A"/>
          <w:sz w:val="21"/>
          <w:szCs w:val="21"/>
        </w:rPr>
        <w:t xml:space="preserve">Bouwt rechtstreeks op de nulmeting uit deel 25 voort: de datakwaliteitsproblemen die daar zichtbaar werden, zijn hier de aanleiding voor DNB's eisen aan aantoonbaarheid bij invaren. Open met een korte terugverwijzing naar de meest opvallende bevinding uit deel 25 van de groep, en laat zien dat dit deel daar een antwoord op geeft: niet het probleem oplossen, maar het aantoonbaar beheersen.</w:t>
      </w:r>
    </w:p>
    <w:p>
      <w:pPr>
        <w:pStyle w:val="Heading2"/>
        <w:pBdr>
          <w:bottom w:val="single" w:color="2563A8" w:sz="6" w:space="4"/>
        </w:pBdr>
        <w:spacing w:after="160" w:before="300"/>
      </w:pPr>
      <w:r>
        <w:rPr>
          <w:rFonts w:ascii="Calibri" w:cs="Calibri" w:eastAsia="Calibri" w:hAnsi="Calibri"/>
          <w:b/>
          <w:bCs/>
          <w:color w:val="2563A8"/>
          <w:sz w:val="24"/>
          <w:szCs w:val="24"/>
        </w:rPr>
        <w:t xml:space="preserve">Tijdschema (dagdeel van 4 uur)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Tijd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Werkvorm</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0:00 – 0:15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Terugblik deel 25, aanleiding vanuit de nulmeting</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0:15 – 0:35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§26.1-26.2 Van beleid naar maatregel, vier controlpatronen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26.1, 26.2</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0:35 – 1:00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1:00 – 1:30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1:30 – 1:45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1:45 – 2:05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§26.3 Toezicht vertaald naar ontwerpeisen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26.3</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2:05 – 2:30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3</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2:30 – 2:50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§26.4 Privacy en gegevensminimalisatie</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26.4</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2:50 – 3:05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3:05 – 3:20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4</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3:20 – 3:35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§26.5-26.6 Audit trail, versiebeheer</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26.5</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3:35 – 4:00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5 starten, §26.7, opdracht 6, vooruitblik</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 + tweetallen</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Opdracht 5 (audit trail-specificatie) loopt door na het dagdeel. Opdracht 6 (control bij casewerk) is de directe voortzetting van het autonomiegesprek uit deel 17 en verdient minimaal 25 minuten, ook als dat ten koste gaat van tijd elders.</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Risico naar maatregel naar model</w:t>
      </w:r>
    </w:p>
    <w:p>
      <w:pPr>
        <w:spacing w:after="160" w:line="300"/>
        <w:jc w:val="left"/>
      </w:pPr>
      <w:r>
        <w:rPr>
          <w:rFonts w:ascii="Calibri" w:cs="Calibri" w:eastAsia="Calibri" w:hAnsi="Calibri"/>
          <w:b w:val="false"/>
          <w:bCs w:val="false"/>
          <w:i w:val="false"/>
          <w:iCs w:val="false"/>
          <w:color w:val="1A1A1A"/>
          <w:sz w:val="21"/>
          <w:szCs w:val="21"/>
        </w:rPr>
        <w:t xml:space="preserve">Geen uniek antwoord. Controleer of het modelpatroon concreet is (welke taak, welke performer-eis) en niet blijft steken op het niveau van de maatregel zelf ("meer controle") zonder vertaling naar een modelelement.</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Modelleer de controls</w:t>
      </w:r>
    </w:p>
    <w:p>
      <w:pPr>
        <w:spacing w:after="160" w:line="300"/>
        <w:jc w:val="left"/>
      </w:pPr>
      <w:r>
        <w:rPr>
          <w:rFonts w:ascii="Calibri" w:cs="Calibri" w:eastAsia="Calibri" w:hAnsi="Calibri"/>
          <w:b w:val="false"/>
          <w:bCs w:val="false"/>
          <w:i w:val="false"/>
          <w:iCs w:val="false"/>
          <w:color w:val="1A1A1A"/>
          <w:sz w:val="21"/>
          <w:szCs w:val="21"/>
        </w:rPr>
        <w:t xml:space="preserve">Praktische toepassing. Verwacht dat sommige deelnemers functiescheiding modelleren als tekstuele annotatie in plaats van als afdwingbare performer-toewijzing — corrigeer dit, een annotatie is geen modelelement in de zin van §26.1.</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Toezichtvraag beantwoorden</w:t>
      </w:r>
    </w:p>
    <w:p>
      <w:pPr>
        <w:spacing w:after="160" w:line="300"/>
        <w:jc w:val="left"/>
      </w:pPr>
      <w:r>
        <w:rPr>
          <w:rFonts w:ascii="Calibri" w:cs="Calibri" w:eastAsia="Calibri" w:hAnsi="Calibri"/>
          <w:b w:val="false"/>
          <w:bCs w:val="false"/>
          <w:i w:val="false"/>
          <w:iCs w:val="false"/>
          <w:color w:val="1A1A1A"/>
          <w:sz w:val="21"/>
          <w:szCs w:val="21"/>
        </w:rPr>
        <w:t xml:space="preserve">Beoordeel of elk deel van het antwoord daadwerkelijk naar een modelelement verwijst, niet naar een algemene bewering over het proces. Een antwoord dat zegt "wij doen aan datakwaliteitscontrole" zonder het modelelement te tonen, beantwoordt de toezichtvraag niet.</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Gegevensminimalisatie</w:t>
      </w:r>
    </w:p>
    <w:p>
      <w:pPr>
        <w:spacing w:after="160" w:line="300"/>
        <w:jc w:val="left"/>
      </w:pPr>
      <w:r>
        <w:rPr>
          <w:rFonts w:ascii="Calibri" w:cs="Calibri" w:eastAsia="Calibri" w:hAnsi="Calibri"/>
          <w:b w:val="false"/>
          <w:bCs w:val="false"/>
          <w:i w:val="false"/>
          <w:iCs w:val="false"/>
          <w:color w:val="1A1A1A"/>
          <w:sz w:val="21"/>
          <w:szCs w:val="21"/>
        </w:rPr>
        <w:t xml:space="preserve">Geen uniek antwoord. De meest voorkomende valkuil: een deelnemer stelt vast dat een stap te veel gegevens raakt, maar herontwerpt hem niet — benoemen zonder oplossen is bij dit deel onvoldoende, in tegenstelling tot bijvoorbeeld deel 24 waar benoemen van een gat op zichzelf al waarde had.</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Audit trail-specificatie</w:t>
      </w:r>
    </w:p>
    <w:p>
      <w:pPr>
        <w:spacing w:after="160" w:line="300"/>
        <w:jc w:val="left"/>
      </w:pPr>
      <w:r>
        <w:rPr>
          <w:rFonts w:ascii="Calibri" w:cs="Calibri" w:eastAsia="Calibri" w:hAnsi="Calibri"/>
          <w:b w:val="false"/>
          <w:bCs w:val="false"/>
          <w:i w:val="false"/>
          <w:iCs w:val="false"/>
          <w:color w:val="1A1A1A"/>
          <w:sz w:val="21"/>
          <w:szCs w:val="21"/>
        </w:rPr>
        <w:t xml:space="preserve">Geen modelantwoord. Controleer specifiek: staat er een concrete bewaartermijn (niet "lang genoeg")? Is de reconstructie voor de deelnemer zelf ook mogelijk te presenteren op een manier die aan art. 48 Pw (correct, duidelijk, evenwichtig) voldoet, of is het alleen intern bruikbaar?</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6 — Control bij casewerk</w:t>
      </w:r>
    </w:p>
    <w:p>
      <w:pPr>
        <w:spacing w:after="160" w:line="300"/>
        <w:jc w:val="left"/>
      </w:pPr>
      <w:r>
        <w:rPr>
          <w:rFonts w:ascii="Calibri" w:cs="Calibri" w:eastAsia="Calibri" w:hAnsi="Calibri"/>
          <w:b/>
          <w:bCs/>
          <w:i w:val="false"/>
          <w:iCs w:val="false"/>
          <w:color w:val="1A1A1A"/>
          <w:sz w:val="21"/>
          <w:szCs w:val="21"/>
        </w:rPr>
        <w:t xml:space="preserve">Dit is de directe voortzetting van het autonomiegesprek uit deel 17 en het scherpst van dit deel.</w:t>
      </w:r>
      <w:r>
        <w:rPr>
          <w:rFonts w:ascii="Calibri" w:cs="Calibri" w:eastAsia="Calibri" w:hAnsi="Calibri"/>
          <w:b w:val="false"/>
          <w:bCs w:val="false"/>
          <w:i w:val="false"/>
          <w:iCs w:val="false"/>
          <w:color w:val="1A1A1A"/>
          <w:sz w:val="21"/>
          <w:szCs w:val="21"/>
        </w:rPr>
        <w:t xml:space="preserve"> Verwacht dat deelnemers met een compliance-achtergrond doorslaan naar zware beheersing en deelnemers met een operationele achtergrond naar behoud van autonomie — meng de tweetallen bewust zodat beide perspectieven in één uitwerking terechtkomen. Een goed antwoord kiest niet klakkeloos voor de zwaarste variant; het beargumenteert welke balans past bij het risico van dít type dossier.</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7 — Stellingen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Breed gedragen, kern van §26.1.</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Prikkelend: leidt vaak tot een goed gesprek over het verschil tussen ontwerpen voor control en handhaven van control — dit deel behandelt vooral het eerste.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Nuance nodig: ze staan op gespannen voet, maar zijn te verzoenen als de audit trail zelf toegang beperkt tot wie het nodig heeft (§26.4 en §26.5 gecombineerd).</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Onjuist als absolute stelling: zie §26.7 — registratie zonder sturing is geen wantrouwen, het is dezelfde discretionaire ruimte met een spoor erachter.</w:t>
      </w:r>
    </w:p>
    <w:p>
      <w:pPr>
        <w:pStyle w:val="Heading2"/>
        <w:pBdr>
          <w:bottom w:val="single" w:color="2563A8" w:sz="6" w:space="4"/>
        </w:pBdr>
        <w:spacing w:after="160" w:before="300"/>
      </w:pPr>
      <w:r>
        <w:rPr>
          <w:rFonts w:ascii="Calibri" w:cs="Calibri" w:eastAsia="Calibri" w:hAnsi="Calibri"/>
          <w:b/>
          <w:bCs/>
          <w:color w:val="2563A8"/>
          <w:sz w:val="24"/>
          <w:szCs w:val="24"/>
        </w:rPr>
        <w:t xml:space="preserve">Veelgemaakte fouten in dit deel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Een maatregel benoemen zonder modelelement</w:t>
      </w:r>
      <w:r>
        <w:rPr>
          <w:rFonts w:ascii="Calibri" w:cs="Calibri" w:eastAsia="Calibri" w:hAnsi="Calibri"/>
          <w:b w:val="false"/>
          <w:bCs w:val="false"/>
          <w:i w:val="false"/>
          <w:iCs w:val="false"/>
          <w:color w:val="1A1A1A"/>
          <w:sz w:val="21"/>
          <w:szCs w:val="21"/>
        </w:rPr>
        <w:t xml:space="preserve"> — de kern van opdracht 1, laat het gebeuren en corrigeer in de nabespreking.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Functiescheiding als tekstuele annotatie in plaats van afdwingbare performer-toewijzing</w:t>
      </w:r>
      <w:r>
        <w:rPr>
          <w:rFonts w:ascii="Calibri" w:cs="Calibri" w:eastAsia="Calibri" w:hAnsi="Calibri"/>
          <w:b w:val="false"/>
          <w:bCs w:val="false"/>
          <w:i w:val="false"/>
          <w:iCs w:val="false"/>
          <w:color w:val="1A1A1A"/>
          <w:sz w:val="21"/>
          <w:szCs w:val="21"/>
        </w:rPr>
        <w:t xml:space="preserve"> — zie opdracht 2.</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Een toezichtvraag beantwoorden met een algemene bewering in plaats van een modelverwijzing</w:t>
      </w:r>
      <w:r>
        <w:rPr>
          <w:rFonts w:ascii="Calibri" w:cs="Calibri" w:eastAsia="Calibri" w:hAnsi="Calibri"/>
          <w:b w:val="false"/>
          <w:bCs w:val="false"/>
          <w:i w:val="false"/>
          <w:iCs w:val="false"/>
          <w:color w:val="1A1A1A"/>
          <w:sz w:val="21"/>
          <w:szCs w:val="21"/>
        </w:rPr>
        <w:t xml:space="preserve"> — zie opdracht 3.</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Control bij casewerk klakkeloos zwaar maken</w:t>
      </w:r>
      <w:r>
        <w:rPr>
          <w:rFonts w:ascii="Calibri" w:cs="Calibri" w:eastAsia="Calibri" w:hAnsi="Calibri"/>
          <w:b w:val="false"/>
          <w:bCs w:val="false"/>
          <w:i w:val="false"/>
          <w:iCs w:val="false"/>
          <w:color w:val="1A1A1A"/>
          <w:sz w:val="21"/>
          <w:szCs w:val="21"/>
        </w:rPr>
        <w:t xml:space="preserve"> zonder het risico van het specifieke dossiertype te wegen — zie opdracht 6.</w:t>
      </w:r>
    </w:p>
    <w:p>
      <w:pPr>
        <w:pStyle w:val="Heading2"/>
        <w:pBdr>
          <w:bottom w:val="single" w:color="2563A8" w:sz="6" w:space="4"/>
        </w:pBdr>
        <w:spacing w:after="160" w:before="300"/>
      </w:pPr>
      <w:r>
        <w:rPr>
          <w:rFonts w:ascii="Calibri" w:cs="Calibri" w:eastAsia="Calibri" w:hAnsi="Calibri"/>
          <w:b/>
          <w:bCs/>
          <w:color w:val="2563A8"/>
          <w:sz w:val="24"/>
          <w:szCs w:val="24"/>
        </w:rPr>
        <w:t xml:space="preserve">Beoordelingsrubric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Criterium</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Goed</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Risico-maatregel-model</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Maatregel zonder modelelement</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Modelelement benoemd, generiek</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Modelelement concreet en specifiek voor het risico</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Toezichtvraag</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Algemene bewering</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Deels onderbouwd met modelelementen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Volledig onderbouwd, elk onderdeel herleidbaar</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Audit trail</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Geen concrete bewaartermijn of reconstructiepad</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Eén van beide concreet</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Bewaartermijn én reconstructiepad concreet, gekoppeld aan art. 48 Pw</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Control bij casewerk</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Klakkeloos zwaar of klakkeloos licht</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Balans gekozen, summier verdedigd</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Balans expliciet afgewogen tegen het risico van het dossiertype</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Benodigdheden</w:t>
      </w:r>
    </w:p>
    <w:p>
      <w:pPr>
        <w:spacing w:after="160" w:line="300"/>
        <w:jc w:val="left"/>
      </w:pPr>
      <w:r>
        <w:rPr>
          <w:rFonts w:ascii="Calibri" w:cs="Calibri" w:eastAsia="Calibri" w:hAnsi="Calibri"/>
          <w:b w:val="false"/>
          <w:bCs w:val="false"/>
          <w:i w:val="false"/>
          <w:iCs w:val="false"/>
          <w:color w:val="1A1A1A"/>
          <w:sz w:val="21"/>
          <w:szCs w:val="21"/>
        </w:rPr>
        <w:t xml:space="preserve">Werkboek per deelnemer, vijf risico's voor opdracht 1 als uitgereikt document, een toezichtvraag voor opdracht 3 als uitgereikt document, het procesmodel van elke deelnemer voor Deelnemermutaties uit niveau 2 beschikbaar, `casusdossier-stelselovergang.md` §6 en §7 beschikbaar.</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26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2026-08-17T15:44:40.570Z</dcterms:created>
  <dcterms:modified xsi:type="dcterms:W3CDTF">2026-08-17T15:44:40.572Z</dcterms:modified>
</cp:coreProperties>
</file>

<file path=docProps/custom.xml><?xml version="1.0" encoding="utf-8"?>
<Properties xmlns="http://schemas.openxmlformats.org/officeDocument/2006/custom-properties" xmlns:vt="http://schemas.openxmlformats.org/officeDocument/2006/docPropsVTypes"/>
</file>