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26</w:t>
      </w:r>
    </w:p>
    <w:p>
      <w:pPr>
        <w:spacing w:after="300"/>
      </w:pPr>
      <w:r>
        <w:rPr>
          <w:rFonts w:ascii="Calibri" w:cs="Calibri" w:eastAsia="Calibri" w:hAnsi="Calibri"/>
          <w:b/>
          <w:bCs/>
          <w:color w:val="14213D"/>
          <w:sz w:val="34"/>
          <w:szCs w:val="34"/>
        </w:rPr>
        <w:t xml:space="preserve">Werkboek — Compliance, risk en control in modellen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individueel, opdracht 3 (deliverable) individueel, opdracht 4 individueel, opdracht 5 (kerndeliverable) individueel met verwerkingstijd, opdracht 6 in tweetallen, opdracht 7 plenair. Eén dagdeel van 4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Risico naar maatregel naar model</w:t>
      </w:r>
    </w:p>
    <w:p>
      <w:pPr>
        <w:spacing w:after="160" w:line="300"/>
        <w:jc w:val="left"/>
      </w:pPr>
      <w:r>
        <w:rPr>
          <w:rFonts w:ascii="Calibri" w:cs="Calibri" w:eastAsia="Calibri" w:hAnsi="Calibri"/>
          <w:b w:val="false"/>
          <w:bCs w:val="false"/>
          <w:i w:val="false"/>
          <w:iCs w:val="false"/>
          <w:color w:val="1A1A1A"/>
          <w:sz w:val="21"/>
          <w:szCs w:val="21"/>
        </w:rPr>
        <w:t xml:space="preserve">Vijf risico's rond invaren en datakwaliteit (uitgereikt document, gebaseerd op casusdossier §6). Formuleer per risico een maatregel en het bijbehorende modelpatroon uit §26.2.</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Modelleer de controls</w:t>
      </w:r>
    </w:p>
    <w:p>
      <w:pPr>
        <w:spacing w:after="160" w:line="300"/>
        <w:jc w:val="left"/>
      </w:pPr>
      <w:r>
        <w:rPr>
          <w:rFonts w:ascii="Calibri" w:cs="Calibri" w:eastAsia="Calibri" w:hAnsi="Calibri"/>
          <w:b w:val="false"/>
          <w:bCs w:val="false"/>
          <w:i w:val="false"/>
          <w:iCs w:val="false"/>
          <w:color w:val="1A1A1A"/>
          <w:sz w:val="21"/>
          <w:szCs w:val="21"/>
        </w:rPr>
        <w:t xml:space="preserve">Neem een bestaand proces uit niveau 2 (bijvoorbeeld Deelnemermutaties) en voeg vierogenprincipe en functiescheiding toe waar ze nu ontbreken.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Toezichtvraag beantwoorden *(deliverable)*</w:t>
      </w:r>
    </w:p>
    <w:p>
      <w:pPr>
        <w:spacing w:after="160" w:line="300"/>
        <w:jc w:val="left"/>
      </w:pPr>
      <w:r>
        <w:rPr>
          <w:rFonts w:ascii="Calibri" w:cs="Calibri" w:eastAsia="Calibri" w:hAnsi="Calibri"/>
          <w:b w:val="false"/>
          <w:bCs w:val="false"/>
          <w:i w:val="false"/>
          <w:iCs w:val="false"/>
          <w:color w:val="1A1A1A"/>
          <w:sz w:val="21"/>
          <w:szCs w:val="21"/>
        </w:rPr>
        <w:t xml:space="preserve">Beantwoord een gegeven toezichtvraag van DNB of de AFM (uitgereikt document) met expliciete verwijzing naar de modelelementen die het antwoord onderbouwen.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Gegevensminimalisatie</w:t>
      </w:r>
    </w:p>
    <w:p>
      <w:pPr>
        <w:spacing w:after="160" w:line="300"/>
        <w:jc w:val="left"/>
      </w:pPr>
      <w:r>
        <w:rPr>
          <w:rFonts w:ascii="Calibri" w:cs="Calibri" w:eastAsia="Calibri" w:hAnsi="Calibri"/>
          <w:b w:val="false"/>
          <w:bCs w:val="false"/>
          <w:i w:val="false"/>
          <w:iCs w:val="false"/>
          <w:color w:val="1A1A1A"/>
          <w:sz w:val="21"/>
          <w:szCs w:val="21"/>
        </w:rPr>
        <w:t xml:space="preserve">Bepaal welke processtappen in Deelnemermutaties meer gegevens raken dan nodig. Herontwerp er twee zodat ze met een afgeleide waarde volstaan in plaats van het brongegeven.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Audit trail-specificatie *(kerndeliverable)*</w:t>
      </w:r>
    </w:p>
    <w:p>
      <w:pPr>
        <w:spacing w:after="160" w:line="300"/>
        <w:jc w:val="left"/>
      </w:pPr>
      <w:r>
        <w:rPr>
          <w:rFonts w:ascii="Calibri" w:cs="Calibri" w:eastAsia="Calibri" w:hAnsi="Calibri"/>
          <w:b w:val="false"/>
          <w:bCs w:val="false"/>
          <w:i w:val="false"/>
          <w:iCs w:val="false"/>
          <w:color w:val="1A1A1A"/>
          <w:sz w:val="21"/>
          <w:szCs w:val="21"/>
        </w:rPr>
        <w:t xml:space="preserve">Specificeer wat wordt vastgelegd bij een besluit over compensatie (casusdossier art. 150f Pw), hoe lang het bewaard blijft, en hoe je daarmee een besluit van drie jaar geleden reconstrueert voor een deelnemer die erom vraagt. Maximaal drie pagina's.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Control bij casewerk *(tweetallen)*</w:t>
      </w:r>
    </w:p>
    <w:p>
      <w:pPr>
        <w:spacing w:after="160" w:line="300"/>
        <w:jc w:val="left"/>
      </w:pPr>
      <w:r>
        <w:rPr>
          <w:rFonts w:ascii="Calibri" w:cs="Calibri" w:eastAsia="Calibri" w:hAnsi="Calibri"/>
          <w:b w:val="false"/>
          <w:bCs w:val="false"/>
          <w:i w:val="false"/>
          <w:iCs w:val="false"/>
          <w:color w:val="1A1A1A"/>
          <w:sz w:val="21"/>
          <w:szCs w:val="21"/>
        </w:rPr>
        <w:t xml:space="preserve">Beheers een casetraject binnen Bijzondere Situaties zonder de discretionaire ruimte van de behandelaar te vernietigen. Werk twee varianten uit — één met lichte, één met zware control — en verdedig welke balans je voor dit type dossier zou kiezen.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Een beheersmaatregel die niet in het model staat, bestaat niet.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Functiescheiding is theater zolang niemand steekproefsgewijs controleert of ze wordt nageleefd.</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Gegevensminimalisatie en een goede audit trail staan op gespannen voet met elkaar.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Control bij casewerk is per definitie een vorm van wantrouwen richting de behandelaar.</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27 verschuift van control op mensenwerk naar control op geautomatiseerde besluitvorming: beslisautomatisering op schaal, met model risk management als kerndeliverable. De audit trail-eis van vandaag komt daar terug voor elke DMN-beslissing die het uitvoeringsplatform automatisch neemt.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2026-08-17T15:44:40.384Z</dcterms:created>
  <dcterms:modified xsi:type="dcterms:W3CDTF">2026-08-17T15:44:40.385Z</dcterms:modified>
</cp:coreProperties>
</file>

<file path=docProps/custom.xml><?xml version="1.0" encoding="utf-8"?>
<Properties xmlns="http://schemas.openxmlformats.org/officeDocument/2006/custom-properties" xmlns:vt="http://schemas.openxmlformats.org/officeDocument/2006/docPropsVTypes"/>
</file>