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BPMN, CMMN &amp; DMN</w:t>
      </w:r>
    </w:p>
    <w:p>
      <w:pPr>
        <w:spacing w:after="40"/>
      </w:pPr>
      <w:r>
        <w:rPr>
          <w:rFonts w:ascii="Calibri" w:cs="Calibri" w:eastAsia="Calibri" w:hAnsi="Calibri"/>
          <w:color w:val="6B7280"/>
          <w:sz w:val="22"/>
          <w:szCs w:val="22"/>
        </w:rPr>
        <w:t xml:space="preserve">Niveau 3 — Meesterschap · Deel 28</w:t>
      </w:r>
    </w:p>
    <w:p>
      <w:pPr>
        <w:spacing w:after="300"/>
      </w:pPr>
      <w:r>
        <w:rPr>
          <w:rFonts w:ascii="Calibri" w:cs="Calibri" w:eastAsia="Calibri" w:hAnsi="Calibri"/>
          <w:b/>
          <w:bCs/>
          <w:color w:val="14213D"/>
          <w:sz w:val="32"/>
          <w:szCs w:val="32"/>
        </w:rPr>
        <w:t xml:space="preserve">Docentenhandleiding — Adaptive case management en kenniswerk</w:t>
      </w:r>
    </w:p>
    <w:p>
      <w:pPr>
        <w:pStyle w:val="Heading2"/>
        <w:pBdr>
          <w:bottom w:val="single" w:color="2563A8" w:sz="6" w:space="4"/>
        </w:pBdr>
        <w:spacing w:after="160" w:before="300"/>
      </w:pPr>
      <w:r>
        <w:rPr>
          <w:rFonts w:ascii="Calibri" w:cs="Calibri" w:eastAsia="Calibri" w:hAnsi="Calibri"/>
          <w:b/>
          <w:bCs/>
          <w:color w:val="2563A8"/>
          <w:sz w:val="24"/>
          <w:szCs w:val="24"/>
        </w:rPr>
        <w:t xml:space="preserve">Doel en positie</w:t>
      </w:r>
    </w:p>
    <w:p>
      <w:pPr>
        <w:spacing w:after="160" w:line="300"/>
        <w:jc w:val="left"/>
      </w:pPr>
      <w:r>
        <w:rPr>
          <w:rFonts w:ascii="Calibri" w:cs="Calibri" w:eastAsia="Calibri" w:hAnsi="Calibri"/>
          <w:b w:val="false"/>
          <w:bCs w:val="false"/>
          <w:i w:val="false"/>
          <w:iCs w:val="false"/>
          <w:color w:val="1A1A1A"/>
          <w:sz w:val="21"/>
          <w:szCs w:val="21"/>
        </w:rPr>
        <w:t xml:space="preserve">Het meest conceptuele deel van niveau 3 — geen genormeerde OMG-standaard, geen concrete notatie om te oefenen, maar een grensvraag: waar houdt zelfs CMMN op? Houd het geaard door elke paragraaf te koppelen aan een concreet Meridiaan-voorbeeld, met name Bijzondere Situaties. Vermijd dat het gesprek te abstract wordt — vraag bij elke conceptuele uitspraak door: "hoe ziet dat er bij Meridiaan concreet uit?"</w:t>
      </w:r>
    </w:p>
    <w:p>
      <w:pPr>
        <w:pStyle w:val="Heading2"/>
        <w:pBdr>
          <w:bottom w:val="single" w:color="2563A8" w:sz="6" w:space="4"/>
        </w:pBdr>
        <w:spacing w:after="160" w:before="300"/>
      </w:pPr>
      <w:r>
        <w:rPr>
          <w:rFonts w:ascii="Calibri" w:cs="Calibri" w:eastAsia="Calibri" w:hAnsi="Calibri"/>
          <w:b/>
          <w:bCs/>
          <w:color w:val="2563A8"/>
          <w:sz w:val="24"/>
          <w:szCs w:val="24"/>
        </w:rPr>
        <w:t xml:space="preserve">Tijdschema (dagdeel van 3,5 uur)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Tijd</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Onderdeel</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Werkvorm</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0:00 – 0:15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Terugblik deel 27, aankondiging conceptueel deel</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Plenair</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0:15 – 0:35</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§28.1 Waar CMMN ophoudt</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Presentatie, figuur 28.1</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0:35 – 1:00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Opdracht 1</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Individueel</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1:00 – 1:20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§28.2-28.3 De ACM-gedachte, patronen</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Presentatie, figuur 28.2, 28.3</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1:20 – 1:35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Pauze</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1:35 – 2:05</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Opdracht 2</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Individueel</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2:05 – 2:25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§28.4 Producten en concepten (incl. Locked Platform/Conductus)</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Presentatie</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2:25 – 3:00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Opdracht 3 starten</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Individueel</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3:00 – 3:15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Pauze</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3:15 – 3:30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§28.5-28.6, opdracht 4 en 5 kort aankondigen als vervolg, vooruitblik</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Plenair</w:t>
            </w:r>
          </w:p>
        </w:tc>
      </w:tr>
    </w:tbl>
    <w:p>
      <w:pPr>
        <w:spacing w:before="200"/>
      </w:pPr>
    </w:p>
    <w:p>
      <w:pPr>
        <w:spacing w:after="160" w:line="300"/>
        <w:jc w:val="left"/>
      </w:pPr>
      <w:r>
        <w:rPr>
          <w:rFonts w:ascii="Calibri" w:cs="Calibri" w:eastAsia="Calibri" w:hAnsi="Calibri"/>
          <w:b w:val="false"/>
          <w:bCs w:val="false"/>
          <w:i w:val="false"/>
          <w:iCs w:val="false"/>
          <w:color w:val="1A1A1A"/>
          <w:sz w:val="21"/>
          <w:szCs w:val="21"/>
        </w:rPr>
        <w:t xml:space="preserve">Opdracht 3 (kerndeliverable) loopt door na het dagdeel. Opdracht 4 en 5 kunnen als huiswerk worden meegegeven en aan het begin van deel 29 kort worden nabesproken als de tijd ontbreekt.</w:t>
      </w: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Uitwerkingen</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1 — CMMN of ACM</w:t>
      </w:r>
    </w:p>
    <w:p>
      <w:pPr>
        <w:spacing w:after="160" w:line="300"/>
        <w:jc w:val="left"/>
      </w:pPr>
      <w:r>
        <w:rPr>
          <w:rFonts w:ascii="Calibri" w:cs="Calibri" w:eastAsia="Calibri" w:hAnsi="Calibri"/>
          <w:b w:val="false"/>
          <w:bCs w:val="false"/>
          <w:i w:val="false"/>
          <w:iCs w:val="false"/>
          <w:color w:val="1A1A1A"/>
          <w:sz w:val="21"/>
          <w:szCs w:val="21"/>
        </w:rPr>
        <w:t xml:space="preserve">Geen uniek antwoord. Het scherpste criterium: kun je voor deze situatie een eindige, zij het lange, lijst van mogelijke handelingen opstellen? Zo ja, CMMN (ook als die lijst honderd items telt). Zo nee — de lijst is per definitie onvolledig omdat het probleem nieuw is — ACM.</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2 — Precedent vastleggen zonder voorschrijven</w:t>
      </w:r>
    </w:p>
    <w:p>
      <w:pPr>
        <w:spacing w:after="160" w:line="300"/>
        <w:jc w:val="left"/>
      </w:pPr>
      <w:r>
        <w:rPr>
          <w:rFonts w:ascii="Calibri" w:cs="Calibri" w:eastAsia="Calibri" w:hAnsi="Calibri"/>
          <w:b w:val="false"/>
          <w:bCs w:val="false"/>
          <w:i w:val="false"/>
          <w:iCs w:val="false"/>
          <w:color w:val="1A1A1A"/>
          <w:sz w:val="21"/>
          <w:szCs w:val="21"/>
        </w:rPr>
        <w:t xml:space="preserve">Geen uniek antwoord. Controleer of het mechanisme daadwerkelijk optioneel blijft — een ontwerp waarbij het precedent standaard wordt voorgesteld zonder duidelijke "dit is een suggestie, geen instructie"-signalering, glijdt in de praktijk af naar een informele norm (zie stelling 2 in opdracht 6).</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3 — ACM-ontwerp</w:t>
      </w:r>
    </w:p>
    <w:p>
      <w:pPr>
        <w:spacing w:after="160" w:line="300"/>
        <w:jc w:val="left"/>
      </w:pPr>
      <w:r>
        <w:rPr>
          <w:rFonts w:ascii="Calibri" w:cs="Calibri" w:eastAsia="Calibri" w:hAnsi="Calibri"/>
          <w:b/>
          <w:bCs/>
          <w:i w:val="false"/>
          <w:iCs w:val="false"/>
          <w:color w:val="1A1A1A"/>
          <w:sz w:val="21"/>
          <w:szCs w:val="21"/>
        </w:rPr>
        <w:t xml:space="preserve">Het meest conceptuele en het minst modelmatige onderdeel van heel niveau 3.</w:t>
      </w:r>
      <w:r>
        <w:rPr>
          <w:rFonts w:ascii="Calibri" w:cs="Calibri" w:eastAsia="Calibri" w:hAnsi="Calibri"/>
          <w:b w:val="false"/>
          <w:bCs w:val="false"/>
          <w:i w:val="false"/>
          <w:iCs w:val="false"/>
          <w:color w:val="1A1A1A"/>
          <w:sz w:val="21"/>
          <w:szCs w:val="21"/>
        </w:rPr>
        <w:t xml:space="preserve"> Geen modelantwoord. Beoordeel of de deelnemer daadwerkelijk buiten CMMN durft te denken — een uitwerking die toch weer een uitgebreide discretionary-items-lijst oplevert, heeft de grens uit §28.1 niet volledig doorleefd. Controleer ook of de rol van het Locked Platform en Conductus realistisch wordt ingeschat: geen van beide lost het ACM-probleem zelf op, hooguit het randgebied ervan (documentopslag, communicatieregistratie).</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4 — Autonomie op organisatieniveau</w:t>
      </w:r>
    </w:p>
    <w:p>
      <w:pPr>
        <w:spacing w:after="160" w:line="300"/>
        <w:jc w:val="left"/>
      </w:pPr>
      <w:r>
        <w:rPr>
          <w:rFonts w:ascii="Calibri" w:cs="Calibri" w:eastAsia="Calibri" w:hAnsi="Calibri"/>
          <w:b w:val="false"/>
          <w:bCs w:val="false"/>
          <w:i w:val="false"/>
          <w:iCs w:val="false"/>
          <w:color w:val="1A1A1A"/>
          <w:sz w:val="21"/>
          <w:szCs w:val="21"/>
        </w:rPr>
        <w:t xml:space="preserve">Verwacht een indeling die grofweg aansluit bij §28.5: hoog-volume gestandaardiseerd werk (weinig autonomie, BPMN), herkenbaar patroon met uitzonderingen (CMMN-achtige autonomie, Klachten &amp; Bezwaren), structureel onvoorspelbaar werk (ACM, delen van Bijzondere Situaties). Een indeling die alle werk dezelfde autonomie toekent, heeft de kern van dit deel gemist.</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5 — Meten zonder te sturen</w:t>
      </w:r>
    </w:p>
    <w:p>
      <w:pPr>
        <w:spacing w:after="160" w:line="300"/>
        <w:jc w:val="left"/>
      </w:pPr>
      <w:r>
        <w:rPr>
          <w:rFonts w:ascii="Calibri" w:cs="Calibri" w:eastAsia="Calibri" w:hAnsi="Calibri"/>
          <w:b/>
          <w:bCs/>
          <w:i w:val="false"/>
          <w:iCs w:val="false"/>
          <w:color w:val="1A1A1A"/>
          <w:sz w:val="21"/>
          <w:szCs w:val="21"/>
        </w:rPr>
        <w:t xml:space="preserve">Het scherpst van dit deel en een directe voortzetting van de meetdiscussie uit deel 21, §21.3 en deel 24, opdracht 5.</w:t>
      </w:r>
      <w:r>
        <w:rPr>
          <w:rFonts w:ascii="Calibri" w:cs="Calibri" w:eastAsia="Calibri" w:hAnsi="Calibri"/>
          <w:b w:val="false"/>
          <w:bCs w:val="false"/>
          <w:i w:val="false"/>
          <w:iCs w:val="false"/>
          <w:color w:val="1A1A1A"/>
          <w:sz w:val="21"/>
          <w:szCs w:val="21"/>
        </w:rPr>
        <w:t xml:space="preserve"> Verwacht dat deelnemers in eerste instantie alleen benoemen wat een indicator meet, niet welk gedrag hij uitlokt — vraag expliciet door.</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6 — Stellingen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Onjuist als absolute stelling, goede discussiestarter: ACM is een bewuste erkenning van een structureel kenmerk van het werk (onvoorspelbaarheid), niet van onbegrip — maar de grens tussen "ik begrijp het werk niet" en "dit werk is structureel onvoorspelbaar" is in de praktijk soms lastig te trekken, en dat spanningsveld is precies waardevol om te bespreken.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Realistisch en prikkelend — sluit direct aan op opdracht 2.</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Nuance nodig: geen meting is ook een keuze met een prijs (geen zicht op kwaliteit of achterstand); de stelling is alleen waar als het alternatief werkelijk "slecht gekozen" is, niet "elke vorm van meten".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Deels waar: kleinere organisaties hebben minder ruimte om werktypen te scheiden, maar de onderliggende vraag (welk werk verdient welke autonomie) speelt op elke schaal.</w:t>
      </w:r>
    </w:p>
    <w:p>
      <w:pPr>
        <w:pStyle w:val="Heading2"/>
        <w:pBdr>
          <w:bottom w:val="single" w:color="2563A8" w:sz="6" w:space="4"/>
        </w:pBdr>
        <w:spacing w:after="160" w:before="300"/>
      </w:pPr>
      <w:r>
        <w:rPr>
          <w:rFonts w:ascii="Calibri" w:cs="Calibri" w:eastAsia="Calibri" w:hAnsi="Calibri"/>
          <w:b/>
          <w:bCs/>
          <w:color w:val="2563A8"/>
          <w:sz w:val="24"/>
          <w:szCs w:val="24"/>
        </w:rPr>
        <w:t xml:space="preserve">Veelgemaakte fouten in dit deel</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Elke CMMN-uitzondering meteen als ACM bestempelen</w:t>
      </w:r>
      <w:r>
        <w:rPr>
          <w:rFonts w:ascii="Calibri" w:cs="Calibri" w:eastAsia="Calibri" w:hAnsi="Calibri"/>
          <w:b w:val="false"/>
          <w:bCs w:val="false"/>
          <w:i w:val="false"/>
          <w:iCs w:val="false"/>
          <w:color w:val="1A1A1A"/>
          <w:sz w:val="21"/>
          <w:szCs w:val="21"/>
        </w:rPr>
        <w:t xml:space="preserve"> in plaats van eerst te toetsen of de handelingen echt onbekend zijn — zie opdracht 1.</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Een precedentmechanisme dat in de praktijk verplicht wordt</w:t>
      </w:r>
      <w:r>
        <w:rPr>
          <w:rFonts w:ascii="Calibri" w:cs="Calibri" w:eastAsia="Calibri" w:hAnsi="Calibri"/>
          <w:b w:val="false"/>
          <w:bCs w:val="false"/>
          <w:i w:val="false"/>
          <w:iCs w:val="false"/>
          <w:color w:val="1A1A1A"/>
          <w:sz w:val="21"/>
          <w:szCs w:val="21"/>
        </w:rPr>
        <w:t xml:space="preserve"> door de manier waarop het gepresenteerd wordt — zie opdracht 2.</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Een ACM-ontwerp dat toch weer een uitgebreide vooraf gedefinieerde structuur is</w:t>
      </w:r>
      <w:r>
        <w:rPr>
          <w:rFonts w:ascii="Calibri" w:cs="Calibri" w:eastAsia="Calibri" w:hAnsi="Calibri"/>
          <w:b w:val="false"/>
          <w:bCs w:val="false"/>
          <w:i w:val="false"/>
          <w:iCs w:val="false"/>
          <w:color w:val="1A1A1A"/>
          <w:sz w:val="21"/>
          <w:szCs w:val="21"/>
        </w:rPr>
        <w:t xml:space="preserve"> — het belangrijkste leermoment van opdracht 3.</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Indicatoren voorstellen zonder het uitgelokte gedrag te benoemen</w:t>
      </w:r>
      <w:r>
        <w:rPr>
          <w:rFonts w:ascii="Calibri" w:cs="Calibri" w:eastAsia="Calibri" w:hAnsi="Calibri"/>
          <w:b w:val="false"/>
          <w:bCs w:val="false"/>
          <w:i w:val="false"/>
          <w:iCs w:val="false"/>
          <w:color w:val="1A1A1A"/>
          <w:sz w:val="21"/>
          <w:szCs w:val="21"/>
        </w:rPr>
        <w:t xml:space="preserve"> — zie opdracht 5.</w:t>
      </w:r>
    </w:p>
    <w:p>
      <w:pPr>
        <w:pStyle w:val="Heading2"/>
        <w:pBdr>
          <w:bottom w:val="single" w:color="2563A8" w:sz="6" w:space="4"/>
        </w:pBdr>
        <w:spacing w:after="160" w:before="300"/>
      </w:pPr>
      <w:r>
        <w:rPr>
          <w:rFonts w:ascii="Calibri" w:cs="Calibri" w:eastAsia="Calibri" w:hAnsi="Calibri"/>
          <w:b/>
          <w:bCs/>
          <w:color w:val="2563A8"/>
          <w:sz w:val="24"/>
          <w:szCs w:val="24"/>
        </w:rPr>
        <w:t xml:space="preserve">Beoordelingsrubric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Criterium</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Onvoldoende</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Voldoende</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Goed</w:t>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CMMN/ACM-grens</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Grens niet consistent toegepast</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Grens toegepast, twijfelgevallen niet uitgelegd</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Grens consistent toegepast, twijfelgevallen expliciet beargumenteerd</w:t>
            </w:r>
          </w:p>
        </w:tc>
      </w:tr>
      <w:tr>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Precedentmechanisme</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Verplicht in de praktijk</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Optioneel, signalering onduidelijk</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Optioneel én duidelijk als suggestie gepresenteerd</w:t>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ACM-ontwerp</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Verkapt CMMN-model</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Erkent de grens, uitwerking mager</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Erkent de grens, concrete gedeelde werkruimte en precedentrol uitgewerkt</w:t>
            </w:r>
          </w:p>
        </w:tc>
      </w:tr>
      <w:tr>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Meten bij kenniswerk</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Geen uitgelokt gedrag benoemd</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Uitgelokt gedrag benoemd, algemeen</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Uitgelokt gedrag concreet per indicator, met een tegenmaatregel</w:t>
            </w:r>
          </w:p>
        </w:tc>
      </w:tr>
    </w:tbl>
    <w:p>
      <w:pPr>
        <w:spacing w:before="200"/>
      </w:pPr>
    </w:p>
    <w:p>
      <w:pPr>
        <w:pStyle w:val="Heading2"/>
        <w:pBdr>
          <w:bottom w:val="single" w:color="2563A8" w:sz="6" w:space="4"/>
        </w:pBdr>
        <w:spacing w:after="160" w:before="300"/>
      </w:pPr>
      <w:r>
        <w:rPr>
          <w:rFonts w:ascii="Calibri" w:cs="Calibri" w:eastAsia="Calibri" w:hAnsi="Calibri"/>
          <w:b/>
          <w:bCs/>
          <w:color w:val="2563A8"/>
          <w:sz w:val="24"/>
          <w:szCs w:val="24"/>
        </w:rPr>
        <w:t xml:space="preserve">Benodigdheden</w:t>
      </w:r>
    </w:p>
    <w:p>
      <w:pPr>
        <w:spacing w:after="160" w:line="300"/>
        <w:jc w:val="left"/>
      </w:pPr>
      <w:r>
        <w:rPr>
          <w:rFonts w:ascii="Calibri" w:cs="Calibri" w:eastAsia="Calibri" w:hAnsi="Calibri"/>
          <w:b w:val="false"/>
          <w:bCs w:val="false"/>
          <w:i w:val="false"/>
          <w:iCs w:val="false"/>
          <w:color w:val="1A1A1A"/>
          <w:sz w:val="21"/>
          <w:szCs w:val="21"/>
        </w:rPr>
        <w:t xml:space="preserve">Werkboek per deelnemer, zes situaties voor opdracht 1 als uitgereikt document, dossierbeschrijvingen Bijzondere Situaties beschikbaar als referentiemateriaal voor opdracht 2 en 3.</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BPMN, CMMN &amp; DMN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28 · Docentenhandleiding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2026-08-17T15:44:42.731Z</dcterms:created>
  <dcterms:modified xsi:type="dcterms:W3CDTF">2026-08-17T15:44:42.732Z</dcterms:modified>
</cp:coreProperties>
</file>

<file path=docProps/custom.xml><?xml version="1.0" encoding="utf-8"?>
<Properties xmlns="http://schemas.openxmlformats.org/officeDocument/2006/custom-properties" xmlns:vt="http://schemas.openxmlformats.org/officeDocument/2006/docPropsVTypes"/>
</file>