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 — Wat risico eigenlijk is</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Deel 1 is het openingsdeel van de hele cursus en draagt drie lasten tegelijk: het introduceert de casus, het legt de definitie en het begrippenonderscheid, en het introduceert de risicozin als vast instrument. Van die drie is de risicozin verreweg het belangrijkste. Als je door tijdgebrek moet snijden, snijd dan in paragraaf 1.6 en 1.7, niet in 1.3.</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de definitie van risico uit ISO 31000 reproduceren en uitleggen waarom een doelstelling noodzakelijk is</w:t>
      </w:r>
    </w:p>
    <w:p>
      <w:pPr>
        <w:pStyle w:val="ListParagraph"/>
        <w:numPr>
          <w:ilvl w:val="0"/>
          <w:numId w:val="2"/>
        </w:numPr>
        <w:spacing w:after="100" w:line="280"/>
      </w:pPr>
      <w:r>
        <w:rPr>
          <w:rFonts w:ascii="Calibri" w:cs="Calibri" w:eastAsia="Calibri" w:hAnsi="Calibri"/>
          <w:color w:val="1A1A1A"/>
          <w:sz w:val="21"/>
          <w:szCs w:val="21"/>
        </w:rPr>
        <w:t xml:space="preserve">risico, issue, probleem, aanname en onzekerheid uit elkaar houden</w:t>
      </w:r>
    </w:p>
    <w:p>
      <w:pPr>
        <w:pStyle w:val="ListParagraph"/>
        <w:numPr>
          <w:ilvl w:val="0"/>
          <w:numId w:val="2"/>
        </w:numPr>
        <w:spacing w:after="100" w:line="280"/>
      </w:pPr>
      <w:r>
        <w:rPr>
          <w:rFonts w:ascii="Calibri" w:cs="Calibri" w:eastAsia="Calibri" w:hAnsi="Calibri"/>
          <w:color w:val="1A1A1A"/>
          <w:sz w:val="21"/>
          <w:szCs w:val="21"/>
        </w:rPr>
        <w:t xml:space="preserve">een risico formuleren als volledige risicozin en de twee standaardfouten herkennen</w:t>
      </w:r>
    </w:p>
    <w:p>
      <w:pPr>
        <w:pStyle w:val="ListParagraph"/>
        <w:numPr>
          <w:ilvl w:val="0"/>
          <w:numId w:val="2"/>
        </w:numPr>
        <w:spacing w:after="100" w:line="280"/>
      </w:pPr>
      <w:r>
        <w:rPr>
          <w:rFonts w:ascii="Calibri" w:cs="Calibri" w:eastAsia="Calibri" w:hAnsi="Calibri"/>
          <w:color w:val="1A1A1A"/>
          <w:sz w:val="21"/>
          <w:szCs w:val="21"/>
        </w:rPr>
        <w:t xml:space="preserve">de vijf faalpunten van het WGP 2.0-register benoemen</w:t>
      </w:r>
    </w:p>
    <w:p>
      <w:pPr>
        <w:pStyle w:val="ListParagraph"/>
        <w:numPr>
          <w:ilvl w:val="0"/>
          <w:numId w:val="2"/>
        </w:numPr>
        <w:spacing w:after="100" w:line="280"/>
      </w:pPr>
      <w:r>
        <w:rPr>
          <w:rFonts w:ascii="Calibri" w:cs="Calibri" w:eastAsia="Calibri" w:hAnsi="Calibri"/>
          <w:color w:val="1A1A1A"/>
          <w:sz w:val="21"/>
          <w:szCs w:val="21"/>
        </w:rPr>
        <w:t xml:space="preserve">het certificeringslandschap schetsen en de eigen route beargumenteren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Kennismaking en verwachtingen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Kort rondje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zevenenveertig regels</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Vertelling</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0:35–1:00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Definitie en de drie gevolgen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Interactief</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1:00–1:15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1:15–1:35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Vijf begrippen uit elkaar</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1.2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1:35–2:15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risicozin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Uitleg + opdracht 1.3</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2:30–2:55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Bespreking opdracht 1.3</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Twee tweetallen presenteren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2:55–3:15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vijf faalpunten en de kernzin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Uitleg</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3:15–3:30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Certificeringslandschap, cursusboog, huiswerk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Uitleg</w:t>
            </w:r>
          </w:p>
        </w:tc>
      </w:tr>
    </w:tbl>
    <w:p>
      <w:pPr>
        <w:spacing w:after="180" w:line="300"/>
        <w:jc w:val="both"/>
      </w:pPr>
      <w:r>
        <w:rPr>
          <w:rFonts w:ascii="Calibri" w:cs="Calibri" w:eastAsia="Calibri" w:hAnsi="Calibri"/>
          <w:color w:val="1A1A1A"/>
          <w:sz w:val="21"/>
          <w:szCs w:val="21"/>
        </w:rPr>
        <w:t xml:space="preserve">Huiswerk voor deel 2: opdracht 1.1 en 1.5. Opdracht 1.5 is essentieel — het maakt van de cursus meteen iets dat over hun eigen werk gaat.</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Projectmanagers en programmamanagers herkennen de casus onmiddellijk en zijn geneigd meteen over maatregelen te praten — houd dat tegen. Deelnemers uit de financiële sector vinden niveau 1 aanvankelijk elementair; erken dat expliciet en plaats het in latere delen. Business analisten en adviseurs zijn de sterkste groep bij de risicozin.</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‘Kans en impact’ te vroeg introduceren — scoren komt in deel 5</w:t>
      </w:r>
    </w:p>
    <w:p>
      <w:pPr>
        <w:pStyle w:val="ListParagraph"/>
        <w:numPr>
          <w:ilvl w:val="0"/>
          <w:numId w:val="2"/>
        </w:numPr>
        <w:spacing w:after="100" w:line="280"/>
      </w:pPr>
      <w:r>
        <w:rPr>
          <w:rFonts w:ascii="Calibri" w:cs="Calibri" w:eastAsia="Calibri" w:hAnsi="Calibri"/>
          <w:color w:val="1A1A1A"/>
          <w:sz w:val="21"/>
          <w:szCs w:val="21"/>
        </w:rPr>
        <w:t xml:space="preserve">De definitie te filosofisch behandelen — toets met een concrete vraag: tegen welke doelstelling?</w:t>
      </w:r>
    </w:p>
    <w:p>
      <w:pPr>
        <w:pStyle w:val="ListParagraph"/>
        <w:numPr>
          <w:ilvl w:val="0"/>
          <w:numId w:val="2"/>
        </w:numPr>
        <w:spacing w:after="100" w:line="280"/>
      </w:pPr>
      <w:r>
        <w:rPr>
          <w:rFonts w:ascii="Calibri" w:cs="Calibri" w:eastAsia="Calibri" w:hAnsi="Calibri"/>
          <w:color w:val="1A1A1A"/>
          <w:sz w:val="21"/>
          <w:szCs w:val="21"/>
        </w:rPr>
        <w:t xml:space="preserve">Kansen (positief risico) uit de hand laten lopen — kort antwoorden, serieus in deel 6</w:t>
      </w:r>
    </w:p>
    <w:p>
      <w:pPr>
        <w:pStyle w:val="ListParagraph"/>
        <w:numPr>
          <w:ilvl w:val="0"/>
          <w:numId w:val="2"/>
        </w:numPr>
        <w:spacing w:after="100" w:line="280"/>
      </w:pPr>
      <w:r>
        <w:rPr>
          <w:rFonts w:ascii="Calibri" w:cs="Calibri" w:eastAsia="Calibri" w:hAnsi="Calibri"/>
          <w:color w:val="1A1A1A"/>
          <w:sz w:val="21"/>
          <w:szCs w:val="21"/>
        </w:rPr>
        <w:t xml:space="preserve">De post-mortem opnieuw volledig uitvoeren — gebruik hier alleen bevinding 6</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Wie is er in jullie organisatie verantwoordelijk voor het feit dat een risico dat zich voordoet, niét in het register stond?</w:t>
      </w:r>
    </w:p>
    <w:p>
      <w:pPr>
        <w:pStyle w:val="ListParagraph"/>
        <w:numPr>
          <w:ilvl w:val="0"/>
          <w:numId w:val="2"/>
        </w:numPr>
        <w:spacing w:after="100" w:line="280"/>
      </w:pPr>
      <w:r>
        <w:rPr>
          <w:rFonts w:ascii="Calibri" w:cs="Calibri" w:eastAsia="Calibri" w:hAnsi="Calibri"/>
          <w:color w:val="1A1A1A"/>
          <w:sz w:val="21"/>
          <w:szCs w:val="21"/>
        </w:rPr>
        <w:t xml:space="preserve">Waarom bleef het hoogst gescoorde risico van WGP 2.0 veertien maanden onbeheerd?</w:t>
      </w:r>
    </w:p>
    <w:p>
      <w:pPr>
        <w:pStyle w:val="ListParagraph"/>
        <w:numPr>
          <w:ilvl w:val="0"/>
          <w:numId w:val="2"/>
        </w:numPr>
        <w:spacing w:after="100" w:line="280"/>
      </w:pPr>
      <w:r>
        <w:rPr>
          <w:rFonts w:ascii="Calibri" w:cs="Calibri" w:eastAsia="Calibri" w:hAnsi="Calibri"/>
          <w:color w:val="1A1A1A"/>
          <w:sz w:val="21"/>
          <w:szCs w:val="21"/>
        </w:rPr>
        <w:t xml:space="preserve">Wat weet iedereen in jouw organisatie, dat daarom nergens staat?</w:t>
      </w:r>
    </w:p>
    <w:p>
      <w:pPr>
        <w:pStyle w:val="ListParagraph"/>
        <w:numPr>
          <w:ilvl w:val="0"/>
          <w:numId w:val="2"/>
        </w:numPr>
        <w:spacing w:after="100" w:line="280"/>
      </w:pPr>
      <w:r>
        <w:rPr>
          <w:rFonts w:ascii="Calibri" w:cs="Calibri" w:eastAsia="Calibri" w:hAnsi="Calibri"/>
          <w:color w:val="1A1A1A"/>
          <w:sz w:val="21"/>
          <w:szCs w:val="21"/>
        </w:rPr>
        <w:t xml:space="preserve">Is een risicoregister van een project fundamenteel iets anders dan dat van een onderneming?</w:t>
      </w:r>
    </w:p>
    <w:p>
      <w:pPr>
        <w:pStyle w:val="Heading2"/>
        <w:spacing w:after="160" w:before="360"/>
      </w:pPr>
      <w:r>
        <w:rPr>
          <w:rFonts w:ascii="Calibri" w:cs="Calibri" w:eastAsia="Calibri" w:hAnsi="Calibri"/>
          <w:b/>
          <w:bCs/>
          <w:color w:val="2C5AA0"/>
          <w:sz w:val="26"/>
          <w:szCs w:val="26"/>
        </w:rPr>
        <w:t xml:space="preserve">Antwoordmodel voor de moeilijkste bespreking</w:t>
      </w:r>
    </w:p>
    <w:p>
      <w:pPr>
        <w:spacing w:after="180" w:line="300"/>
        <w:jc w:val="both"/>
      </w:pPr>
      <w:r>
        <w:rPr>
          <w:rFonts w:ascii="Calibri" w:cs="Calibri" w:eastAsia="Calibri" w:hAnsi="Calibri"/>
          <w:color w:val="1A1A1A"/>
          <w:sz w:val="21"/>
          <w:szCs w:val="21"/>
        </w:rPr>
        <w:t xml:space="preserve">Opdracht 1.3, risico 2 (sleutelkennis): laat de groep zelf ontdekken wat er wringt door één vraag te stellen: welke maatregel volgt hieruit? Het feit is niet Gerard, het feit is het ontbreken van documentatie. Zodra dat op tafel ligt, verschuift de maatregel vanzelf van de persoon naar het kennisborgingsprobleem.</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fictieve register van WGP 2.0, minimaal de vijf regels uit opdracht 1.1 plus regel 11 met score 25</w:t>
      </w:r>
    </w:p>
    <w:p>
      <w:pPr>
        <w:pStyle w:val="ListParagraph"/>
        <w:numPr>
          <w:ilvl w:val="0"/>
          <w:numId w:val="2"/>
        </w:numPr>
        <w:spacing w:after="100" w:line="280"/>
      </w:pPr>
      <w:r>
        <w:rPr>
          <w:rFonts w:ascii="Calibri" w:cs="Calibri" w:eastAsia="Calibri" w:hAnsi="Calibri"/>
          <w:color w:val="1A1A1A"/>
          <w:sz w:val="21"/>
          <w:szCs w:val="21"/>
        </w:rPr>
        <w:t xml:space="preserve">Flipover of digitaal whiteboard voor de risicozinnen uit opdracht 1.3</w:t>
      </w:r>
    </w:p>
    <w:p>
      <w:pPr>
        <w:pStyle w:val="ListParagraph"/>
        <w:numPr>
          <w:ilvl w:val="0"/>
          <w:numId w:val="2"/>
        </w:numPr>
        <w:spacing w:after="100" w:line="280"/>
      </w:pPr>
      <w:r>
        <w:rPr>
          <w:rFonts w:ascii="Calibri" w:cs="Calibri" w:eastAsia="Calibri" w:hAnsi="Calibri"/>
          <w:color w:val="1A1A1A"/>
          <w:sz w:val="21"/>
          <w:szCs w:val="21"/>
        </w:rPr>
        <w:t xml:space="preserve">Optioneel: een geanonimiseerd echt register van de opdrachtgever</w:t>
      </w:r>
    </w:p>
    <w:p>
      <w:pPr>
        <w:pStyle w:val="Heading2"/>
        <w:spacing w:after="160" w:before="360"/>
      </w:pPr>
      <w:r>
        <w:rPr>
          <w:rFonts w:ascii="Calibri" w:cs="Calibri" w:eastAsia="Calibri" w:hAnsi="Calibri"/>
          <w:b/>
          <w:bCs/>
          <w:color w:val="2C5AA0"/>
          <w:sz w:val="26"/>
          <w:szCs w:val="26"/>
        </w:rPr>
        <w:t xml:space="preserve">Aansluiting op deel 2</w:t>
      </w:r>
    </w:p>
    <w:p>
      <w:pPr>
        <w:spacing w:after="180" w:line="300"/>
        <w:jc w:val="both"/>
      </w:pPr>
      <w:r>
        <w:rPr>
          <w:rFonts w:ascii="Calibri" w:cs="Calibri" w:eastAsia="Calibri" w:hAnsi="Calibri"/>
          <w:color w:val="1A1A1A"/>
          <w:sz w:val="21"/>
          <w:szCs w:val="21"/>
        </w:rPr>
        <w:t xml:space="preserve">Sluit af met de vraag die deel 2 opent: als een register alleen werkt wanneer het gekoppeld is aan doelstellingen, eigenaren en grenzen — waar staat dan precies beschreven hoe je dat inricht? Antwoord: in verschillende standaarden, die elk een andere vraag beantwoorden.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2026-08-15T04:50:20.998Z</dcterms:created>
  <dcterms:modified xsi:type="dcterms:W3CDTF">2026-08-15T04:50:20.999Z</dcterms:modified>
</cp:coreProperties>
</file>

<file path=docProps/custom.xml><?xml version="1.0" encoding="utf-8"?>
<Properties xmlns="http://schemas.openxmlformats.org/officeDocument/2006/custom-properties" xmlns:vt="http://schemas.openxmlformats.org/officeDocument/2006/docPropsVTypes"/>
</file>