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 — Standaarden: dezelfde taal, niet dezelfde vraag</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lastigste deel om levendig te houden van heel niveau 1: het is per definitie vergelijkend en abstract, en de verleiding om er een opsomming van te maken is groot. Bewaak daarom vanaf de eerste minuut het frame uit paragraaf 2.1 — drie lagen, verschillende vragen — en laat elke standaard daarna kort aan bod komen zonder in encyclopedische volledigheid te vervallen.</w:t>
      </w:r>
    </w:p>
    <w:p>
      <w:pPr>
        <w:spacing w:after="180" w:line="300"/>
        <w:jc w:val="both"/>
      </w:pPr>
      <w:r>
        <w:rPr>
          <w:rFonts w:ascii="Calibri" w:cs="Calibri" w:eastAsia="Calibri" w:hAnsi="Calibri"/>
          <w:color w:val="1A1A1A"/>
          <w:sz w:val="21"/>
          <w:szCs w:val="21"/>
        </w:rPr>
        <w:t xml:space="preserve">Het belangrijkste leerresultaat is niet kennis van vijf documenten. Het is de vaardigheid om te herkennen welke vraag een standaard beantwoordt, zodat deelnemers later, als ze in hun eigen organisatie langs drie kaders lopen zoals Sanne, niet verzanden in een welke-is-de-beste-discussie.</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het onderscheid tussen vocabulaire, principes en proces/raamwerk toepassen op een gegeven uitspraak;</w:t>
      </w:r>
    </w:p>
    <w:p>
      <w:pPr>
        <w:pStyle w:val="ListParagraph"/>
        <w:numPr>
          <w:ilvl w:val="0"/>
          <w:numId w:val="2"/>
        </w:numPr>
        <w:spacing w:after="100" w:line="280"/>
      </w:pPr>
      <w:r>
        <w:rPr>
          <w:rFonts w:ascii="Calibri" w:cs="Calibri" w:eastAsia="Calibri" w:hAnsi="Calibri"/>
          <w:color w:val="1A1A1A"/>
          <w:sz w:val="21"/>
          <w:szCs w:val="21"/>
        </w:rPr>
        <w:t xml:space="preserve">van ISO 31000, COSO ERM 2017, M_o_R 4 en het Orange Book kort samenvatten wat elk wél en niet regelt;</w:t>
      </w:r>
    </w:p>
    <w:p>
      <w:pPr>
        <w:pStyle w:val="ListParagraph"/>
        <w:numPr>
          <w:ilvl w:val="0"/>
          <w:numId w:val="2"/>
        </w:numPr>
        <w:spacing w:after="100" w:line="280"/>
      </w:pPr>
      <w:r>
        <w:rPr>
          <w:rFonts w:ascii="Calibri" w:cs="Calibri" w:eastAsia="Calibri" w:hAnsi="Calibri"/>
          <w:color w:val="1A1A1A"/>
          <w:sz w:val="21"/>
          <w:szCs w:val="21"/>
        </w:rPr>
        <w:t xml:space="preserve">de zes M_o_R-perspectieven toepassen op één risico en uitleggen waarom hetzelfde feit op elk niveau een ander risico oplevert;</w:t>
      </w:r>
    </w:p>
    <w:p>
      <w:pPr>
        <w:pStyle w:val="ListParagraph"/>
        <w:numPr>
          <w:ilvl w:val="0"/>
          <w:numId w:val="2"/>
        </w:numPr>
        <w:spacing w:after="100" w:line="280"/>
      </w:pPr>
      <w:r>
        <w:rPr>
          <w:rFonts w:ascii="Calibri" w:cs="Calibri" w:eastAsia="Calibri" w:hAnsi="Calibri"/>
          <w:color w:val="1A1A1A"/>
          <w:sz w:val="21"/>
          <w:szCs w:val="21"/>
        </w:rPr>
        <w:t xml:space="preserve">beargumenteren waarom een organisatie bewust een combinatie van standaarden kan kiezen in plaats van er één te volgen;</w:t>
      </w:r>
    </w:p>
    <w:p>
      <w:pPr>
        <w:pStyle w:val="ListParagraph"/>
        <w:numPr>
          <w:ilvl w:val="0"/>
          <w:numId w:val="2"/>
        </w:numPr>
        <w:spacing w:after="100" w:line="280"/>
      </w:pPr>
      <w:r>
        <w:rPr>
          <w:rFonts w:ascii="Calibri" w:cs="Calibri" w:eastAsia="Calibri" w:hAnsi="Calibri"/>
          <w:color w:val="1A1A1A"/>
          <w:sz w:val="21"/>
          <w:szCs w:val="21"/>
        </w:rPr>
        <w:t xml:space="preserve">herkennen wat geen enkele standaard regelt — namelijk het vakmanschap dat de rest van de cursus behandelt.</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1, huiswerkbespreking kort</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1.1 en 1.5, twee vrijwilligers</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0:15–0:30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drie kaders</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0:30–0:50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drie lagen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6–9, opdracht 2.1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0:50–1:20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ISO 31000 en ISO 31073</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10–16</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1:35–1:55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COSO ERM 2017</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17–20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1:55–2:25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M_o_R 4, met nadruk op de perspectieven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21–26, opdracht 2.3 in tweetallen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2:25–2:35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Bespreking opdracht 2.3</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Eén tweetal per perspectief laat horen wat ze vonden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2:35–2:50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2:50–3:05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Orange Book, kort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27–29</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3:05–3:30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keuze, opdracht 2.5 als start-huiswerk, vooruitblik</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30–32</w:t>
            </w:r>
          </w:p>
        </w:tc>
      </w:tr>
    </w:tbl>
    <w:p>
      <w:pPr>
        <w:spacing w:after="180" w:line="300"/>
        <w:jc w:val="both"/>
      </w:pPr>
      <w:r>
        <w:rPr>
          <w:rFonts w:ascii="Calibri" w:cs="Calibri" w:eastAsia="Calibri" w:hAnsi="Calibri"/>
          <w:color w:val="1A1A1A"/>
          <w:sz w:val="21"/>
          <w:szCs w:val="21"/>
        </w:rPr>
        <w:t xml:space="preserve">Huiswerk voor deel 3: opdracht 2.4 en 2.5.</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welke-is-de-beste-val. Dit is de dominante valkuil van het hele deel. Zodra iemand vraagt “maar wat gebruiken jullie nou echt”, is het verleidelijk een winnaar aan te wijzen. Doe dat niet. Herhaal het frame: verschillende vragen, geen ranglijst. Als je toch een voorbeeldkeuze wilt geven, gebruik Meridiaan's keuze uit paragraaf 2.8 en leg uit waarom die combinatie voor déze organisatie werkt — niet dat hij universeel de beste is.</w:t>
      </w:r>
    </w:p>
    <w:p>
      <w:pPr>
        <w:pStyle w:val="ListParagraph"/>
        <w:numPr>
          <w:ilvl w:val="0"/>
          <w:numId w:val="2"/>
        </w:numPr>
        <w:spacing w:after="100" w:line="280"/>
      </w:pPr>
      <w:r>
        <w:rPr>
          <w:rFonts w:ascii="Calibri" w:cs="Calibri" w:eastAsia="Calibri" w:hAnsi="Calibri"/>
          <w:color w:val="1A1A1A"/>
          <w:sz w:val="21"/>
          <w:szCs w:val="21"/>
        </w:rPr>
        <w:t xml:space="preserve">COSO te uitgebreid behandelen. Voor een Nederlandse, niet-beursgenoteerde of niet-Amerikaanse doelgroep is COSO minder relevant dan ISO 31000 en M_o_R. Behandel het compact: vijf componenten, twintig principes noem je, ga niet in detail door elk principe heen. De kern die moet blijven hangen is de koppeling risico-strategie.</w:t>
      </w:r>
    </w:p>
    <w:p>
      <w:pPr>
        <w:pStyle w:val="ListParagraph"/>
        <w:numPr>
          <w:ilvl w:val="0"/>
          <w:numId w:val="2"/>
        </w:numPr>
        <w:spacing w:after="100" w:line="280"/>
      </w:pPr>
      <w:r>
        <w:rPr>
          <w:rFonts w:ascii="Calibri" w:cs="Calibri" w:eastAsia="Calibri" w:hAnsi="Calibri"/>
          <w:color w:val="1A1A1A"/>
          <w:sz w:val="21"/>
          <w:szCs w:val="21"/>
        </w:rPr>
        <w:t xml:space="preserve">Het Orange Book laten voelen als “nog een standaard om te leren”. Het is uitdrukkelijk een contrastmiddel. Zeg dat er hardop bij: “dit hoef je niet te kennen voor een examen, dit is om je blik scherp te houden.”</w:t>
      </w:r>
    </w:p>
    <w:p>
      <w:pPr>
        <w:pStyle w:val="ListParagraph"/>
        <w:numPr>
          <w:ilvl w:val="0"/>
          <w:numId w:val="2"/>
        </w:numPr>
        <w:spacing w:after="100" w:line="280"/>
      </w:pPr>
      <w:r>
        <w:rPr>
          <w:rFonts w:ascii="Calibri" w:cs="Calibri" w:eastAsia="Calibri" w:hAnsi="Calibri"/>
          <w:color w:val="1A1A1A"/>
          <w:sz w:val="21"/>
          <w:szCs w:val="21"/>
        </w:rPr>
        <w:t xml:space="preserve">M_o_R's acht processen te gedetailleerd behandelen. Dat is stof voor deel 3 en, uitgebreider, voor deel 11 in niveau 2 (waar M_o_R Practitioner-examenstof wordt). Noem hier alleen dat ze bestaan en in welke twee groepen ze vallen; ga er in deel 3 pas dieper op in.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uit de financiële sector.</w:t>
      </w:r>
      <w:r>
        <w:rPr>
          <w:rFonts w:ascii="Calibri" w:cs="Calibri" w:eastAsia="Calibri" w:hAnsi="Calibri"/>
          <w:color w:val="1A1A1A"/>
          <w:sz w:val="21"/>
          <w:szCs w:val="21"/>
        </w:rPr>
        <w:t xml:space="preserve"> Kennen COSO vaak beter dan ISO 31000, zeker als ze auditachtergrond hebben. Gebruik die kennis: laat hen kort vertellen hoe COSO in hun organisatie wordt gebruikt, en leg daarna de brug naar waarom Meridiaan toch ISO 31000 als grondtaal kiest (sectorneutraliteit, aansluiting bij toezichttaal).</w:t>
      </w:r>
    </w:p>
    <w:p>
      <w:pPr>
        <w:spacing w:after="180" w:line="300"/>
        <w:jc w:val="both"/>
      </w:pPr>
      <w:r>
        <w:rPr>
          <w:rFonts w:ascii="Calibri" w:cs="Calibri" w:eastAsia="Calibri" w:hAnsi="Calibri"/>
          <w:b/>
          <w:bCs/>
          <w:color w:val="1B2A4A"/>
          <w:sz w:val="21"/>
          <w:szCs w:val="21"/>
        </w:rPr>
        <w:t xml:space="preserve">Projectmanagers en programmamanagers uit de PM-cursus.</w:t>
      </w:r>
      <w:r>
        <w:rPr>
          <w:rFonts w:ascii="Calibri" w:cs="Calibri" w:eastAsia="Calibri" w:hAnsi="Calibri"/>
          <w:color w:val="1A1A1A"/>
          <w:sz w:val="21"/>
          <w:szCs w:val="21"/>
        </w:rPr>
        <w:t xml:space="preserve"> Herkennen M_o_R's herkomst (AXELOS, PeopleCert) onmiddellijk en vinden de zes perspectieven intuïtief. Laat hen bij opdracht 2.3 het tempo bepalen.</w:t>
      </w:r>
    </w:p>
    <w:p>
      <w:pPr>
        <w:spacing w:after="180" w:line="300"/>
        <w:jc w:val="both"/>
      </w:pPr>
      <w:r>
        <w:rPr>
          <w:rFonts w:ascii="Calibri" w:cs="Calibri" w:eastAsia="Calibri" w:hAnsi="Calibri"/>
          <w:b/>
          <w:bCs/>
          <w:color w:val="1B2A4A"/>
          <w:sz w:val="21"/>
          <w:szCs w:val="21"/>
        </w:rPr>
        <w:t xml:space="preserve">Deelnemers zonder eerdere aanraking met een standaard.</w:t>
      </w:r>
      <w:r>
        <w:rPr>
          <w:rFonts w:ascii="Calibri" w:cs="Calibri" w:eastAsia="Calibri" w:hAnsi="Calibri"/>
          <w:color w:val="1A1A1A"/>
          <w:sz w:val="21"/>
          <w:szCs w:val="21"/>
        </w:rPr>
        <w:t xml:space="preserve"> Kunnen overweldigd raken door vier documenten in één dagdeel. Herinner ze er expliciet aan dat niets hiervan uit het hoofd hoeft — het gaat om het herkennen van het patroon, niet om reproductie. Deel 10 test dat ook zo.</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Meridiaan gebruikte drie kaders naast elkaar zonder dat iemand wist waarom. Is dat per se een probleem, of kan het ook een teken zijn van een organisatie die met meerdere invalshoeken werkt?</w:t>
      </w:r>
    </w:p>
    <w:p>
      <w:pPr>
        <w:pStyle w:val="ListParagraph"/>
        <w:numPr>
          <w:ilvl w:val="0"/>
          <w:numId w:val="2"/>
        </w:numPr>
        <w:spacing w:after="100" w:line="280"/>
      </w:pPr>
      <w:r>
        <w:rPr>
          <w:rFonts w:ascii="Calibri" w:cs="Calibri" w:eastAsia="Calibri" w:hAnsi="Calibri"/>
          <w:color w:val="1A1A1A"/>
          <w:sz w:val="21"/>
          <w:szCs w:val="21"/>
        </w:rPr>
        <w:t xml:space="preserve">Stel dat jouw organisatie morgen een auditor op bezoek krijgt die vraagt “volgens welke standaard werken jullie?” — wat is op dit moment jullie eerlijke antwoord?</w:t>
      </w:r>
    </w:p>
    <w:p>
      <w:pPr>
        <w:pStyle w:val="ListParagraph"/>
        <w:numPr>
          <w:ilvl w:val="0"/>
          <w:numId w:val="2"/>
        </w:numPr>
        <w:spacing w:after="100" w:line="280"/>
      </w:pPr>
      <w:r>
        <w:rPr>
          <w:rFonts w:ascii="Calibri" w:cs="Calibri" w:eastAsia="Calibri" w:hAnsi="Calibri"/>
          <w:color w:val="1A1A1A"/>
          <w:sz w:val="21"/>
          <w:szCs w:val="21"/>
        </w:rPr>
        <w:t xml:space="preserve">M_o_R's zes perspectieven laten zien dat hetzelfde risico op elk niveau anders is. Betekent dat dat één risico zes keer in zes registers moet staan, of is er een andere manier om dat te organiseren? (Geen definitief antwoord hier verwachten — dit is een vooruitwijzing naar de aggregatievraag in deel 17.)</w:t>
      </w:r>
    </w:p>
    <w:p>
      <w:pPr>
        <w:pStyle w:val="Heading2"/>
        <w:spacing w:after="160" w:before="360"/>
      </w:pPr>
      <w:r>
        <w:rPr>
          <w:rFonts w:ascii="Calibri" w:cs="Calibri" w:eastAsia="Calibri" w:hAnsi="Calibri"/>
          <w:b/>
          <w:bCs/>
          <w:color w:val="2C5AA0"/>
          <w:sz w:val="26"/>
          <w:szCs w:val="26"/>
        </w:rPr>
        <w:t xml:space="preserve">Aansluiting op deel 3</w:t>
      </w:r>
    </w:p>
    <w:p>
      <w:pPr>
        <w:spacing w:after="180" w:line="300"/>
        <w:jc w:val="both"/>
      </w:pPr>
      <w:r>
        <w:rPr>
          <w:rFonts w:ascii="Calibri" w:cs="Calibri" w:eastAsia="Calibri" w:hAnsi="Calibri"/>
          <w:color w:val="1A1A1A"/>
          <w:sz w:val="21"/>
          <w:szCs w:val="21"/>
        </w:rPr>
        <w:t xml:space="preserve">Sluit af met: nu we weten welke taal we spreken, is de volgende vraag hoe het proces er in die taal uitziet — en waarom bijna elke organisatie, net als Meridiaan bij WGP 2.0, de allereerste stap van dat proces overslaat. Dat is context en criteria bepalen, het onderwerp van deel 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2026-08-15T21:57:37.281Z</dcterms:created>
  <dcterms:modified xsi:type="dcterms:W3CDTF">2026-08-15T21:57:37.282Z</dcterms:modified>
</cp:coreProperties>
</file>

<file path=docProps/custom.xml><?xml version="1.0" encoding="utf-8"?>
<Properties xmlns="http://schemas.openxmlformats.org/officeDocument/2006/custom-properties" xmlns:vt="http://schemas.openxmlformats.org/officeDocument/2006/docPropsVTypes"/>
</file>