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2 — Standaarden: dezelfde taal, niet dezelfde vraag</w:t>
      </w:r>
    </w:p>
    <w:p>
      <w:pPr>
        <w:spacing w:before="600"/>
        <w:jc w:val="center"/>
      </w:pPr>
      <w:r>
        <w:rPr>
          <w:rFonts w:ascii="Calibri" w:cs="Calibri" w:eastAsia="Calibri" w:hAnsi="Calibri"/>
          <w:b/>
          <w:bCs/>
          <w:color w:val="1B2A4A"/>
          <w:sz w:val="24"/>
          <w:szCs w:val="24"/>
        </w:rPr>
        <w:t xml:space="preserve">Niveau 1 — Fundament</w:t>
      </w:r>
    </w:p>
    <w:p>
      <w:pPr>
        <w:spacing w:before="200"/>
        <w:jc w:val="center"/>
      </w:pPr>
      <w:r>
        <w:rPr>
          <w:rFonts w:ascii="Calibri" w:cs="Calibri" w:eastAsia="Calibri" w:hAnsi="Calibri"/>
          <w:i/>
          <w:iCs/>
          <w:color w:val="D99A3D"/>
          <w:sz w:val="24"/>
          <w:szCs w:val="24"/>
        </w:rPr>
        <w:t xml:space="preserve">Werkboek</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2 — Werkboek</w:t>
      </w:r>
    </w:p>
    <w:p>
      <w:pPr>
        <w:spacing w:after="180" w:line="300"/>
        <w:jc w:val="both"/>
      </w:pPr>
      <w:r>
        <w:rPr>
          <w:rFonts w:ascii="Calibri" w:cs="Calibri" w:eastAsia="Calibri" w:hAnsi="Calibri"/>
          <w:i/>
          <w:iCs/>
          <w:color w:val="1A1A1A"/>
          <w:sz w:val="21"/>
          <w:szCs w:val="21"/>
        </w:rPr>
        <w:t xml:space="preserve">Werk de opdrachten uit vóórdat je de uitwerking leest.</w:t>
      </w:r>
    </w:p>
    <w:p>
      <w:pPr>
        <w:pStyle w:val="Heading2"/>
        <w:spacing w:after="160" w:before="360"/>
      </w:pPr>
      <w:r>
        <w:rPr>
          <w:rFonts w:ascii="Calibri" w:cs="Calibri" w:eastAsia="Calibri" w:hAnsi="Calibri"/>
          <w:b/>
          <w:bCs/>
          <w:color w:val="2C5AA0"/>
          <w:sz w:val="26"/>
          <w:szCs w:val="26"/>
        </w:rPr>
        <w:t xml:space="preserve">Opdracht 2.1 — Welke laag?</w:t>
      </w:r>
    </w:p>
    <w:p>
      <w:pPr>
        <w:spacing w:after="180" w:line="300"/>
        <w:jc w:val="both"/>
      </w:pPr>
      <w:r>
        <w:rPr>
          <w:rFonts w:ascii="Calibri" w:cs="Calibri" w:eastAsia="Calibri" w:hAnsi="Calibri"/>
          <w:color w:val="1A1A1A"/>
          <w:sz w:val="21"/>
          <w:szCs w:val="21"/>
        </w:rPr>
        <w:t xml:space="preserve">Geef voor elke uitspraak aan of hij over vocabulaire, principes of proces/raamwerk gaat.</w:t>
      </w:r>
    </w:p>
    <w:p>
      <w:pPr>
        <w:spacing w:after="180" w:line="300"/>
        <w:jc w:val="both"/>
      </w:pPr>
      <w:r>
        <w:rPr>
          <w:rFonts w:ascii="Calibri" w:cs="Calibri" w:eastAsia="Calibri" w:hAnsi="Calibri"/>
          <w:color w:val="1A1A1A"/>
          <w:sz w:val="21"/>
          <w:szCs w:val="21"/>
        </w:rPr>
        <w:t xml:space="preserve">a) “Een risico-eigenaar is degene die de bevoegdheid en de middelen heeft om het risico te beheersen.”</w:t>
      </w:r>
    </w:p>
    <w:p>
      <w:pPr>
        <w:spacing w:after="180" w:line="300"/>
        <w:jc w:val="both"/>
      </w:pPr>
      <w:r>
        <w:rPr>
          <w:rFonts w:ascii="Calibri" w:cs="Calibri" w:eastAsia="Calibri" w:hAnsi="Calibri"/>
          <w:color w:val="1A1A1A"/>
          <w:sz w:val="21"/>
          <w:szCs w:val="21"/>
        </w:rPr>
        <w:t xml:space="preserve">b) “Context bepalen → identificeren → analyseren → evalueren → behandelen, doorlopend omgeven door communicatie en monitoring.”</w:t>
      </w:r>
    </w:p>
    <w:p>
      <w:pPr>
        <w:spacing w:after="180" w:line="300"/>
        <w:jc w:val="both"/>
      </w:pPr>
      <w:r>
        <w:rPr>
          <w:rFonts w:ascii="Calibri" w:cs="Calibri" w:eastAsia="Calibri" w:hAnsi="Calibri"/>
          <w:color w:val="1A1A1A"/>
          <w:sz w:val="21"/>
          <w:szCs w:val="21"/>
        </w:rPr>
        <w:t xml:space="preserve">c) “Risicomanagement moet waarde creëren en beschermen.”</w:t>
      </w:r>
    </w:p>
    <w:p>
      <w:pPr>
        <w:spacing w:after="180" w:line="300"/>
        <w:jc w:val="both"/>
      </w:pPr>
      <w:r>
        <w:rPr>
          <w:rFonts w:ascii="Calibri" w:cs="Calibri" w:eastAsia="Calibri" w:hAnsi="Calibri"/>
          <w:color w:val="1A1A1A"/>
          <w:sz w:val="21"/>
          <w:szCs w:val="21"/>
        </w:rPr>
        <w:t xml:space="preserve">d) “Bij Meridiaan wordt kans op een schaal van 1 tot 5 vastgesteld door de risico-eigenaar, in overleg met minimaal één inhoudelijk deskundige.”</w:t>
      </w:r>
    </w:p>
    <w:p>
      <w:pPr>
        <w:spacing w:after="180" w:line="300"/>
        <w:jc w:val="both"/>
      </w:pPr>
      <w:r>
        <w:rPr>
          <w:rFonts w:ascii="Calibri" w:cs="Calibri" w:eastAsia="Calibri" w:hAnsi="Calibri"/>
          <w:color w:val="1A1A1A"/>
          <w:sz w:val="21"/>
          <w:szCs w:val="21"/>
        </w:rPr>
        <w:t xml:space="preserve">e) “Risicomanagement is geïntegreerd in alle organisatieprocessen.”</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a) Vocabulaire. Het is een definitie, geen werkwijze en geen argument voor waarom.
b) Proces/raamwerk. Een reeks stappen.
c) Principe. Een uitspraak over wat risicomanagement zou moeten bereiken, niet over hoe.
d) Proces/raamwerk, met een detail dat richting vakmanschap gaat (wie mag scoren) — een goed voorbeeld dat de grens tussen ‘raamwerk’ en ‘vakmanschap’ niet scherp is. Een standaard kan dit soort regels bevatten, maar de vaardigheid om een score goed te kalibreren leer je er niet uit.
e) Principe.
Discussiepunt: d laat zien dat de drie lagen in de praktijk in elkaar overlopen. Dat is geen fout in het model uit paragraaf 2.1 — het is een reden om het niet te dogmatisch te gebruiken.</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2.2 — Vier documenten, vier vragen</w:t>
      </w:r>
    </w:p>
    <w:p>
      <w:pPr>
        <w:spacing w:after="180" w:line="300"/>
        <w:jc w:val="both"/>
      </w:pPr>
      <w:r>
        <w:rPr>
          <w:rFonts w:ascii="Calibri" w:cs="Calibri" w:eastAsia="Calibri" w:hAnsi="Calibri"/>
          <w:color w:val="1A1A1A"/>
          <w:sz w:val="21"/>
          <w:szCs w:val="21"/>
        </w:rPr>
        <w:t xml:space="preserve">Vul de tabel in. Voor elke standaard: één zin over de vraag die hij het beste beantwoordt, en één zin over wat hij niet regelt.</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870"/>
        <w:gridCol w:w="3740"/>
        <w:gridCol w:w="3740"/>
      </w:tblGrid>
      <w:tr>
        <w:trPr>
          <w:tblHeader/>
        </w:trPr>
        <w:tc>
          <w:tcPr>
            <w:tcW w:type="pct" w:w="2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Standaard</w:t>
            </w:r>
          </w:p>
        </w:tc>
        <w:tc>
          <w:tcPr>
            <w:tcW w:type="pct" w:w="4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Beantwoordt het beste</w:t>
            </w:r>
          </w:p>
        </w:tc>
        <w:tc>
          <w:tcPr>
            <w:tcW w:type="pct" w:w="4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Regelt niet</w:t>
            </w:r>
          </w:p>
        </w:tc>
      </w:tr>
      <w:tr>
        <w:tc>
          <w:tcPr>
            <w:tcW w:type="pct" w:w="2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ISO 31000</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2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COSO ERM 2017</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2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M_o_R 4</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2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Orange Book</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bl>
    <w:p>
      <w:pPr>
        <w:spacing w:after="180" w:line="300"/>
        <w:jc w:val="both"/>
      </w:pPr>
      <w:r>
        <w:rPr>
          <w:rFonts w:ascii="Calibri" w:cs="Calibri" w:eastAsia="Calibri" w:hAnsi="Calibri"/>
          <w:color w:val="1A1A1A"/>
          <w:sz w:val="21"/>
          <w:szCs w:val="21"/>
        </w:rPr>
        <w:t xml:space="preserve"/>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ISO 31000 — beantwoordt het beste: waarom en op welke principes risicomanagement in élke organisatie zou moeten rusten. Regelt niet: concrete schalen, sjablonen, rollen met precieze bevoegdheden; geen organisatiecertificering.
COSO ERM 2017 — beantwoordt het beste: hoe risicohouding aan strategie wordt gekoppeld, met governance en cultuur als startpunt. Regelt niet: weinig operationele procesdetails; buiten de VS/SOX-context minder herkend.
M_o_R 4 — beantwoordt het beste: hoe je risico gelaagd organiseert over strategisch, portfolio, programma, project, product en operationeel niveau. Regelt niet: de strategische koppeling die COSO wel expliciet maakt; het is een werkmethode, geen filosofie.
Orange Book — beantwoordt het beste: hoe je risicocategorieën vastlegt en risicovolwassenheid meet. Regelt niet: weinig relevantie buiten de Britse publieke sector; geen internationale route.
Elk antwoord dat qua strekking overeenkomt is goed. Let erop dat deelnemers niet in de val trappen van ‘ISO 31000 is de beste’ of ‘M_o_R is completer’ — de opdracht vraagt naar verschillende vragen, niet naar een winnaar.</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2.3 — M_o_R's zes perspectieven op één risico</w:t>
      </w:r>
    </w:p>
    <w:p>
      <w:pPr>
        <w:spacing w:after="180" w:line="300"/>
        <w:jc w:val="both"/>
      </w:pPr>
      <w:r>
        <w:rPr>
          <w:rFonts w:ascii="Calibri" w:cs="Calibri" w:eastAsia="Calibri" w:hAnsi="Calibri"/>
          <w:color w:val="1A1A1A"/>
          <w:sz w:val="21"/>
          <w:szCs w:val="21"/>
        </w:rPr>
        <w:t xml:space="preserve">Neem het risico “afhankelijkheid van één IT-leverancier voor de conversiesoftware” (zie deel 1). Beschrijf voor elk van de zes M_o_R-perspectieven in één of twee zinnen hoe ditzelfde risico er anders uitziet.</w:t>
      </w:r>
    </w:p>
    <w:p>
      <w:pPr>
        <w:spacing w:after="180" w:line="300"/>
        <w:jc w:val="both"/>
      </w:pPr>
      <w:r>
        <w:rPr>
          <w:rFonts w:ascii="Calibri" w:cs="Calibri" w:eastAsia="Calibri" w:hAnsi="Calibri"/>
          <w:color w:val="1A1A1A"/>
          <w:sz w:val="21"/>
          <w:szCs w:val="21"/>
        </w:rPr>
        <w:t xml:space="preserve">Strategisch — Portfolio — Programma — Project — Product — Operationeel</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Strategisch: hoeveel IT-leveranciers heeft Meridiaan als geheel, en hoe geconcentreerd is die afhankelijkheid over het hele leverancierslandschap? Een bestuursvraag over inkoopbeleid, niet over dit project.
Portfolio: levert deze leverancier ook aan andere lopende initiatieven? Zo ja, dan is uitval niet één projectrisico maar een portfoliobreed knelpunt.
Programma: binnen het toekomstige Programma Mutatieplatform (niveau 2) gebruiken meerdere deelprojecten dezelfde leverancier — het risico wordt daar een afhankelijkheid tussen projecten onderling.
Project: exact zoals in deel 1 geformuleerd — een planningsrisico voor de proefconversie en de go-live-datum van WGP 2.0.
Product: de kwaliteit van het opgeleverde conversieresultaat zelf — een leverancier onder tijdsdruk kan kwaliteit inleveren om de deadline te halen.
Operationeel: na livegang is de dagelijkse mutatieverwerking afhankelijk van dezelfde leverancier voor onderhoud en support — een continuïteitsrisico dat losstaat van het project.
Wat je hier moet meenemen: het is hetzelfde feit (één leverancier), maar zes verschillende risico's met zes verschillende eigenaren, zes verschillende doelstellingen en waarschijnlijk zes verschillende maatregelen. Dit is de reden dat ‘wij hebben dit risico al in kaart’ bijna nooit een volledig antwoord is — de vraag is altijd: op welk perspectief?</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2.4 — Herken de standaard</w:t>
      </w:r>
    </w:p>
    <w:p>
      <w:pPr>
        <w:spacing w:after="180" w:line="300"/>
        <w:jc w:val="both"/>
      </w:pPr>
      <w:r>
        <w:rPr>
          <w:rFonts w:ascii="Calibri" w:cs="Calibri" w:eastAsia="Calibri" w:hAnsi="Calibri"/>
          <w:color w:val="1A1A1A"/>
          <w:sz w:val="21"/>
          <w:szCs w:val="21"/>
        </w:rPr>
        <w:t xml:space="preserve">Onderstaande vier fragmenten zijn (parafrases van) uitspraken die je in de praktijk tegenkomt. Herleid per fragment welke standaard waarschijnlijk de bron is, en waarom.</w:t>
      </w:r>
    </w:p>
    <w:p>
      <w:pPr>
        <w:spacing w:after="180" w:line="300"/>
        <w:jc w:val="both"/>
      </w:pPr>
      <w:r>
        <w:rPr>
          <w:rFonts w:ascii="Calibri" w:cs="Calibri" w:eastAsia="Calibri" w:hAnsi="Calibri"/>
          <w:color w:val="1A1A1A"/>
          <w:sz w:val="21"/>
          <w:szCs w:val="21"/>
        </w:rPr>
        <w:t xml:space="preserve">a) “Wij toetsen jaarlijks of onze risicohouding nog past bij onze strategische doelstellingen, als onderdeel van de strategische planningscyclus.”</w:t>
      </w:r>
    </w:p>
    <w:p>
      <w:pPr>
        <w:spacing w:after="180" w:line="300"/>
        <w:jc w:val="both"/>
      </w:pPr>
      <w:r>
        <w:rPr>
          <w:rFonts w:ascii="Calibri" w:cs="Calibri" w:eastAsia="Calibri" w:hAnsi="Calibri"/>
          <w:color w:val="1A1A1A"/>
          <w:sz w:val="21"/>
          <w:szCs w:val="21"/>
        </w:rPr>
        <w:t xml:space="preserve">b) “Elk risico wordt op zes niveaus beoordeeld: van strategisch tot operationeel.”</w:t>
      </w:r>
    </w:p>
    <w:p>
      <w:pPr>
        <w:spacing w:after="180" w:line="300"/>
        <w:jc w:val="both"/>
      </w:pPr>
      <w:r>
        <w:rPr>
          <w:rFonts w:ascii="Calibri" w:cs="Calibri" w:eastAsia="Calibri" w:hAnsi="Calibri"/>
          <w:color w:val="1A1A1A"/>
          <w:sz w:val="21"/>
          <w:szCs w:val="21"/>
        </w:rPr>
        <w:t xml:space="preserve">c) “Risicomanagement is geen apart proces — het zit in de manier waarop wij besluiten nemen.”</w:t>
      </w:r>
    </w:p>
    <w:p>
      <w:pPr>
        <w:spacing w:after="180" w:line="300"/>
        <w:jc w:val="both"/>
      </w:pPr>
      <w:r>
        <w:rPr>
          <w:rFonts w:ascii="Calibri" w:cs="Calibri" w:eastAsia="Calibri" w:hAnsi="Calibri"/>
          <w:color w:val="1A1A1A"/>
          <w:sz w:val="21"/>
          <w:szCs w:val="21"/>
        </w:rPr>
        <w:t xml:space="preserve">d) “Onze risico's zijn ingedeeld in acht vaste categorieën, en we meten jaarlijks onze volwassenheid op een schaal van 1 tot 5.”</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a) COSO ERM 2017 — de expliciete koppeling aan de strategische planningscyclus is COSO's kenmerk.
b) M_o_R 4 — de zes perspectieven zijn uniek voor deze standaard.
c) ISO 31000 — principe 2, geïntegreerd in alle organisatieprocessen, in de eigen woorden van een organisatie.
d) Orange Book (of een daarvan afgeleid intern kader) — vaste risicocategorieën gecombineerd met een volwassenheidsschaal is het meest kenmerkend voor dit document.
Waarschuwing bij de bespreking: in de praktijk citeren organisaties zelden een standaard letterlijk, en mengen ze vaak elementen. Dat is niet per se een fout — zolang de keuze bewust is gemaakt en de vocabulaire eenduidig is vastgelegd, zoals in paragraaf 2.3 bepleit.</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2.5 — Sanne's memo</w:t>
      </w:r>
    </w:p>
    <w:p>
      <w:pPr>
        <w:spacing w:after="180" w:line="300"/>
        <w:jc w:val="both"/>
      </w:pPr>
      <w:r>
        <w:rPr>
          <w:rFonts w:ascii="Calibri" w:cs="Calibri" w:eastAsia="Calibri" w:hAnsi="Calibri"/>
          <w:color w:val="1A1A1A"/>
          <w:sz w:val="21"/>
          <w:szCs w:val="21"/>
        </w:rPr>
        <w:t xml:space="preserve">Schrijf, alsof je Sanne Bakhuis bent, een memo van maximaal een halve pagina aan de directie van Meridiaan waarin je de gekozen combinatie (ISO 31000 als grondtaal, M_o_R als operationeel raamwerk, COSO als strategisch vergelijkingskader) verantwoordt. Richt je tot een directie die geen risicomanagementachtergrond heeft.</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Er is geen vast antwoord; onderstaande is een richtinggevend voorbeeld ter kalibratie.
Voorstel risicomanagementkader Meridiaan Pensioen — Meridiaan gebruikt op dit moment drie verschillende bronnen door elkaar, zonder dat is vastgelegd waarom. Ik stel voor dat te ordenen langs één lijn: ISO 31000 als grondtaal voor onze principes en onze woordenlijst — dit is de meest gangbare, sectorneutrale referentie in Nederland en sluit aan bij wat toezichthouders als vanzelfsprekend citeren. Voor de dagelijkse inrichting van projecten en programma's gebruiken we M_o_R, omdat dat raamwerk risico expliciet op verschillende niveaus laat zien — van een individueel project tot de hele onderneming — en aansluit bij de projectmethodiek die we al gebruiken. Waar risico rechtstreeks aan onze strategie raakt, met name bij de Stelselovergang, gebruiken we het strategiedenken van COSO als aanvullend kader, niet als vervanging. Geen van deze documenten vervangt het werk zelf: het opstellen van een goed risicoregister, het formuleren van heldere risico's en het voeren van het juiste gesprek op het juiste niveau. Dat organiseren we apart, te beginnen bij de herstart van WGP 2.0.
Beoordelingscriteria: is het jargonvrij? Wordt de keuze verantwoord en niet alleen opgesomd? Wordt duidelijk gemaakt dat een standaard geen vakmanschap vervangt?</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Zelftoets deel 2</w:t>
      </w:r>
    </w:p>
    <w:p>
      <w:pPr>
        <w:pStyle w:val="ListParagraph"/>
        <w:numPr>
          <w:ilvl w:val="0"/>
          <w:numId w:val="2"/>
        </w:numPr>
        <w:spacing w:after="100" w:line="280"/>
      </w:pPr>
      <w:r>
        <w:rPr>
          <w:rFonts w:ascii="Calibri" w:cs="Calibri" w:eastAsia="Calibri" w:hAnsi="Calibri"/>
          <w:color w:val="1A1A1A"/>
          <w:sz w:val="21"/>
          <w:szCs w:val="21"/>
        </w:rPr>
        <w:t xml:space="preserve">1. Noem de drie lagen waarop een risicostandaard kan opereren.</w:t>
      </w:r>
    </w:p>
    <w:p>
      <w:pPr>
        <w:pStyle w:val="ListParagraph"/>
        <w:numPr>
          <w:ilvl w:val="0"/>
          <w:numId w:val="2"/>
        </w:numPr>
        <w:spacing w:after="100" w:line="280"/>
      </w:pPr>
      <w:r>
        <w:rPr>
          <w:rFonts w:ascii="Calibri" w:cs="Calibri" w:eastAsia="Calibri" w:hAnsi="Calibri"/>
          <w:color w:val="1A1A1A"/>
          <w:sz w:val="21"/>
          <w:szCs w:val="21"/>
        </w:rPr>
        <w:t xml:space="preserve">2. Waarom staat de begrippenlijst van ISO 31000 sinds 2018 in een apart document, en hoe heet dat document?</w:t>
      </w:r>
    </w:p>
    <w:p>
      <w:pPr>
        <w:pStyle w:val="ListParagraph"/>
        <w:numPr>
          <w:ilvl w:val="0"/>
          <w:numId w:val="2"/>
        </w:numPr>
        <w:spacing w:after="100" w:line="280"/>
      </w:pPr>
      <w:r>
        <w:rPr>
          <w:rFonts w:ascii="Calibri" w:cs="Calibri" w:eastAsia="Calibri" w:hAnsi="Calibri"/>
          <w:color w:val="1A1A1A"/>
          <w:sz w:val="21"/>
          <w:szCs w:val="21"/>
        </w:rPr>
        <w:t xml:space="preserve">3. Noem de vijf componenten van COSO ERM 2017.</w:t>
      </w:r>
    </w:p>
    <w:p>
      <w:pPr>
        <w:pStyle w:val="ListParagraph"/>
        <w:numPr>
          <w:ilvl w:val="0"/>
          <w:numId w:val="2"/>
        </w:numPr>
        <w:spacing w:after="100" w:line="280"/>
      </w:pPr>
      <w:r>
        <w:rPr>
          <w:rFonts w:ascii="Calibri" w:cs="Calibri" w:eastAsia="Calibri" w:hAnsi="Calibri"/>
          <w:color w:val="1A1A1A"/>
          <w:sz w:val="21"/>
          <w:szCs w:val="21"/>
        </w:rPr>
        <w:t xml:space="preserve">4. Wat maakt M_o_R 4 sinds 2024 ook een merknaam van PeopleCert?</w:t>
      </w:r>
    </w:p>
    <w:p>
      <w:pPr>
        <w:pStyle w:val="ListParagraph"/>
        <w:numPr>
          <w:ilvl w:val="0"/>
          <w:numId w:val="2"/>
        </w:numPr>
        <w:spacing w:after="100" w:line="280"/>
      </w:pPr>
      <w:r>
        <w:rPr>
          <w:rFonts w:ascii="Calibri" w:cs="Calibri" w:eastAsia="Calibri" w:hAnsi="Calibri"/>
          <w:color w:val="1A1A1A"/>
          <w:sz w:val="21"/>
          <w:szCs w:val="21"/>
        </w:rPr>
        <w:t xml:space="preserve">5. Noem de zes perspectieven van M_o_R 4.</w:t>
      </w:r>
    </w:p>
    <w:p>
      <w:pPr>
        <w:pStyle w:val="ListParagraph"/>
        <w:numPr>
          <w:ilvl w:val="0"/>
          <w:numId w:val="2"/>
        </w:numPr>
        <w:spacing w:after="100" w:line="280"/>
      </w:pPr>
      <w:r>
        <w:rPr>
          <w:rFonts w:ascii="Calibri" w:cs="Calibri" w:eastAsia="Calibri" w:hAnsi="Calibri"/>
          <w:color w:val="1A1A1A"/>
          <w:sz w:val="21"/>
          <w:szCs w:val="21"/>
        </w:rPr>
        <w:t xml:space="preserve">6. Waarom is het Orange Book in deze cursus geen certificeringsroute?</w:t>
      </w:r>
    </w:p>
    <w:p>
      <w:pPr>
        <w:pStyle w:val="ListParagraph"/>
        <w:numPr>
          <w:ilvl w:val="0"/>
          <w:numId w:val="2"/>
        </w:numPr>
        <w:spacing w:after="100" w:line="280"/>
      </w:pPr>
      <w:r>
        <w:rPr>
          <w:rFonts w:ascii="Calibri" w:cs="Calibri" w:eastAsia="Calibri" w:hAnsi="Calibri"/>
          <w:color w:val="1A1A1A"/>
          <w:sz w:val="21"/>
          <w:szCs w:val="21"/>
        </w:rPr>
        <w:t xml:space="preserve">7. Welke drie standaarden kiest Meridiaan, en voor welk doel elk?</w:t>
      </w:r>
    </w:p>
    <w:p>
      <w:pPr>
        <w:pStyle w:val="ListParagraph"/>
        <w:numPr>
          <w:ilvl w:val="0"/>
          <w:numId w:val="2"/>
        </w:numPr>
        <w:spacing w:after="100" w:line="280"/>
      </w:pPr>
      <w:r>
        <w:rPr>
          <w:rFonts w:ascii="Calibri" w:cs="Calibri" w:eastAsia="Calibri" w:hAnsi="Calibri"/>
          <w:color w:val="1A1A1A"/>
          <w:sz w:val="21"/>
          <w:szCs w:val="21"/>
        </w:rPr>
        <w:t xml:space="preserve">8. Wat leert geen van de vijf besproken documenten je?</w:t>
      </w:r>
    </w:p>
    <w:p>
      <w:pPr>
        <w:pStyle w:val="Heading2"/>
        <w:spacing w:after="160" w:before="360"/>
      </w:pPr>
      <w:r>
        <w:rPr>
          <w:rFonts w:ascii="Calibri" w:cs="Calibri" w:eastAsia="Calibri" w:hAnsi="Calibri"/>
          <w:b/>
          <w:bCs/>
          <w:color w:val="2C5AA0"/>
          <w:sz w:val="26"/>
          <w:szCs w:val="26"/>
        </w:rPr>
        <w:t xml:space="preserve">Antwoorden zelftoets</w:t>
      </w:r>
    </w:p>
    <w:p>
      <w:pPr>
        <w:spacing w:after="180" w:line="300"/>
        <w:jc w:val="both"/>
      </w:pPr>
      <w:r>
        <w:rPr>
          <w:rFonts w:ascii="Calibri" w:cs="Calibri" w:eastAsia="Calibri" w:hAnsi="Calibri"/>
          <w:color w:val="1A1A1A"/>
          <w:sz w:val="21"/>
          <w:szCs w:val="21"/>
        </w:rPr>
        <w:t xml:space="preserve">1. Vocabulaire, principes, proces/raamwerk.</w:t>
      </w:r>
    </w:p>
    <w:p>
      <w:pPr>
        <w:spacing w:after="180" w:line="300"/>
        <w:jc w:val="both"/>
      </w:pPr>
      <w:r>
        <w:rPr>
          <w:rFonts w:ascii="Calibri" w:cs="Calibri" w:eastAsia="Calibri" w:hAnsi="Calibri"/>
          <w:color w:val="1A1A1A"/>
          <w:sz w:val="21"/>
          <w:szCs w:val="21"/>
        </w:rPr>
        <w:t xml:space="preserve">2. Omdat een woordenboek een ander onderhoudsritme heeft dan een richtlijn; het staat in ISO 31073:2022.</w:t>
      </w:r>
    </w:p>
    <w:p>
      <w:pPr>
        <w:spacing w:after="180" w:line="300"/>
        <w:jc w:val="both"/>
      </w:pPr>
      <w:r>
        <w:rPr>
          <w:rFonts w:ascii="Calibri" w:cs="Calibri" w:eastAsia="Calibri" w:hAnsi="Calibri"/>
          <w:color w:val="1A1A1A"/>
          <w:sz w:val="21"/>
          <w:szCs w:val="21"/>
        </w:rPr>
        <w:t xml:space="preserve">3. Governance en cultuur; strategie en doelbepaling; prestatie; review en revisie; informatie, communicatie en rapportage.</w:t>
      </w:r>
    </w:p>
    <w:p>
      <w:pPr>
        <w:spacing w:after="180" w:line="300"/>
        <w:jc w:val="both"/>
      </w:pPr>
      <w:r>
        <w:rPr>
          <w:rFonts w:ascii="Calibri" w:cs="Calibri" w:eastAsia="Calibri" w:hAnsi="Calibri"/>
          <w:color w:val="1A1A1A"/>
          <w:sz w:val="21"/>
          <w:szCs w:val="21"/>
        </w:rPr>
        <w:t xml:space="preserve">4. PeopleCert biedt het sinds 2024 ook aan onder de merknaam PRINCE2 Risk Management, vanuit dezelfde AXELOS-productfamilie als PRINCE2 en MSP.</w:t>
      </w:r>
    </w:p>
    <w:p>
      <w:pPr>
        <w:spacing w:after="180" w:line="300"/>
        <w:jc w:val="both"/>
      </w:pPr>
      <w:r>
        <w:rPr>
          <w:rFonts w:ascii="Calibri" w:cs="Calibri" w:eastAsia="Calibri" w:hAnsi="Calibri"/>
          <w:color w:val="1A1A1A"/>
          <w:sz w:val="21"/>
          <w:szCs w:val="21"/>
        </w:rPr>
        <w:t xml:space="preserve">5. Strategisch, portfolio, programma, project, product, operationeel.</w:t>
      </w:r>
    </w:p>
    <w:p>
      <w:pPr>
        <w:spacing w:after="180" w:line="300"/>
        <w:jc w:val="both"/>
      </w:pPr>
      <w:r>
        <w:rPr>
          <w:rFonts w:ascii="Calibri" w:cs="Calibri" w:eastAsia="Calibri" w:hAnsi="Calibri"/>
          <w:color w:val="1A1A1A"/>
          <w:sz w:val="21"/>
          <w:szCs w:val="21"/>
        </w:rPr>
        <w:t xml:space="preserve">6. Omdat het geschreven is voor de Britse publieke sector en buiten die context beperkte navolging heeft; het dient hier als contrast, niet als route.</w:t>
      </w:r>
    </w:p>
    <w:p>
      <w:pPr>
        <w:spacing w:after="180" w:line="300"/>
        <w:jc w:val="both"/>
      </w:pPr>
      <w:r>
        <w:rPr>
          <w:rFonts w:ascii="Calibri" w:cs="Calibri" w:eastAsia="Calibri" w:hAnsi="Calibri"/>
          <w:color w:val="1A1A1A"/>
          <w:sz w:val="21"/>
          <w:szCs w:val="21"/>
        </w:rPr>
        <w:t xml:space="preserve">7. ISO 31000 als grondtaal (principes en vocabulaire), M_o_R 4 als operationeel raamwerk (projecten/programma's), COSO als strategisch vergelijkingskader (risicobereidheid gekoppeld aan strategie).</w:t>
      </w:r>
    </w:p>
    <w:p>
      <w:pPr>
        <w:spacing w:after="180" w:line="300"/>
        <w:jc w:val="both"/>
      </w:pPr>
      <w:r>
        <w:rPr>
          <w:rFonts w:ascii="Calibri" w:cs="Calibri" w:eastAsia="Calibri" w:hAnsi="Calibri"/>
          <w:color w:val="1A1A1A"/>
          <w:sz w:val="21"/>
          <w:szCs w:val="21"/>
        </w:rPr>
        <w:t xml:space="preserve">8. Vakmanschap: hoe je een identificatiesessie leidt, een risicozin schrijft, een score kalibreert, of een lastig gesprek voert.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2026-08-15T21:57:36.896Z</dcterms:created>
  <dcterms:modified xsi:type="dcterms:W3CDTF">2026-08-15T21:57:36.898Z</dcterms:modified>
</cp:coreProperties>
</file>

<file path=docProps/custom.xml><?xml version="1.0" encoding="utf-8"?>
<Properties xmlns="http://schemas.openxmlformats.org/officeDocument/2006/custom-properties" xmlns:vt="http://schemas.openxmlformats.org/officeDocument/2006/docPropsVTypes"/>
</file>