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 — Het proces, en de stap die iedereen overslaat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is de scharnier tussen ‘wat risico is’ (deel 1), ‘welke taal we spreken’ (deel 2) en ‘hoe we risico's daadwerkelijk vinden’ (deel 4). De belangrijkste opbrengst is niet kennis van de procescyclus — die is in twintig minuten uit te leggen — maar de overtuiging dat context en criteria vóór identificatie horen te komen, en de vaardigheid om een bruikbaar context- en criteriadocument te schrijven.</w:t>
      </w:r>
    </w:p>
    <w:p>
      <w:pPr>
        <w:spacing w:after="180" w:line="300"/>
        <w:jc w:val="both"/>
      </w:pPr>
      <w:r>
        <w:rPr>
          <w:rFonts w:ascii="Calibri" w:cs="Calibri" w:eastAsia="Calibri" w:hAnsi="Calibri"/>
          <w:color w:val="1A1A1A"/>
          <w:sz w:val="21"/>
          <w:szCs w:val="21"/>
        </w:rPr>
        <w:t xml:space="preserve">Verwacht weerstand. Deelnemers willen naar deel 4: identificeren voelt als het echte werk, context bepalen voelt als bureaucratie. Gebruik het gesprek tussen Sanne en de Compliance-collega aan het begin van de reader nadrukkelijk om die weerstand vroeg te benoemen, niet weg te poetsen.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ISO 31000-procescyclus reproduceren en uitleggen waarom communicatie en monitoring doorlopend zijn, niet eenmalig;</w:t>
      </w:r>
    </w:p>
    <w:p>
      <w:pPr>
        <w:pStyle w:val="ListParagraph"/>
        <w:numPr>
          <w:ilvl w:val="0"/>
          <w:numId w:val="2"/>
        </w:numPr>
        <w:spacing w:after="100" w:line="280"/>
      </w:pPr>
      <w:r>
        <w:rPr>
          <w:rFonts w:ascii="Calibri" w:cs="Calibri" w:eastAsia="Calibri" w:hAnsi="Calibri"/>
          <w:color w:val="1A1A1A"/>
          <w:sz w:val="21"/>
          <w:szCs w:val="21"/>
        </w:rPr>
        <w:t xml:space="preserve">de acht M_o_R-processen naast de ISO 31000-cyclus leggen en uitleggen dat het dezelfde beweging is met een andere naamgeving;</w:t>
      </w:r>
    </w:p>
    <w:p>
      <w:pPr>
        <w:pStyle w:val="ListParagraph"/>
        <w:numPr>
          <w:ilvl w:val="0"/>
          <w:numId w:val="2"/>
        </w:numPr>
        <w:spacing w:after="100" w:line="280"/>
      </w:pPr>
      <w:r>
        <w:rPr>
          <w:rFonts w:ascii="Calibri" w:cs="Calibri" w:eastAsia="Calibri" w:hAnsi="Calibri"/>
          <w:color w:val="1A1A1A"/>
          <w:sz w:val="21"/>
          <w:szCs w:val="21"/>
        </w:rPr>
        <w:t xml:space="preserve">uitleggen waarom context bepalen de meest overgeslagen stap is, en kernzin 2 toepassen op een score zonder criterium;</w:t>
      </w:r>
    </w:p>
    <w:p>
      <w:pPr>
        <w:pStyle w:val="ListParagraph"/>
        <w:numPr>
          <w:ilvl w:val="0"/>
          <w:numId w:val="2"/>
        </w:numPr>
        <w:spacing w:after="100" w:line="280"/>
      </w:pPr>
      <w:r>
        <w:rPr>
          <w:rFonts w:ascii="Calibri" w:cs="Calibri" w:eastAsia="Calibri" w:hAnsi="Calibri"/>
          <w:color w:val="1A1A1A"/>
          <w:sz w:val="21"/>
          <w:szCs w:val="21"/>
        </w:rPr>
        <w:t xml:space="preserve">interne en externe context onderscheiden en toepassen op een eigen of de Meridiaan-casus;</w:t>
      </w:r>
    </w:p>
    <w:p>
      <w:pPr>
        <w:pStyle w:val="ListParagraph"/>
        <w:numPr>
          <w:ilvl w:val="0"/>
          <w:numId w:val="2"/>
        </w:numPr>
        <w:spacing w:after="100" w:line="280"/>
      </w:pPr>
      <w:r>
        <w:rPr>
          <w:rFonts w:ascii="Calibri" w:cs="Calibri" w:eastAsia="Calibri" w:hAnsi="Calibri"/>
          <w:color w:val="1A1A1A"/>
          <w:sz w:val="21"/>
          <w:szCs w:val="21"/>
        </w:rPr>
        <w:t xml:space="preserve">een bruikbare kans- en impactschaal opstellen, gekoppeld aan echte doelstellingen in plaats van generieke bijvoeglijke naamwoorden;</w:t>
      </w:r>
    </w:p>
    <w:p>
      <w:pPr>
        <w:pStyle w:val="ListParagraph"/>
        <w:numPr>
          <w:ilvl w:val="0"/>
          <w:numId w:val="2"/>
        </w:numPr>
        <w:spacing w:after="100" w:line="280"/>
      </w:pPr>
      <w:r>
        <w:rPr>
          <w:rFonts w:ascii="Calibri" w:cs="Calibri" w:eastAsia="Calibri" w:hAnsi="Calibri"/>
          <w:color w:val="1A1A1A"/>
          <w:sz w:val="21"/>
          <w:szCs w:val="21"/>
        </w:rPr>
        <w:t xml:space="preserve">een volledig context- en criteriadocument opstellen voor een gegeven project.</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2, huiswerkbespreking</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2.4 en 2.5, kort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foute start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0:30–0:55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ISO 31000-cyclus</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5–8, opdracht 3.1 individueel dan vergelijken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0:55–1:20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M_o_R's acht processen naast de cyclus</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9–11, opdracht 3.2 plenair</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1:35–1:55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Waarom context bepalen wordt overgeslagen, kernzin 2</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12–15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1:55–2:15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Interne en externe context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16–18, opdracht 3.3 in groepjes van drie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2:30–3:05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Criteria: kans- en impactschaal bouwen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19–23, opdracht 3.4 individueel</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3:05–3:25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document, vooruitblik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24–27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Huiswerk uitleggen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3.5 als hoofdopdracht voor thuis</w:t>
            </w:r>
          </w:p>
        </w:tc>
      </w:tr>
    </w:tbl>
    <w:p>
      <w:pPr>
        <w:spacing w:after="180" w:line="300"/>
        <w:jc w:val="both"/>
      </w:pPr>
      <w:r>
        <w:rPr>
          <w:rFonts w:ascii="Calibri" w:cs="Calibri" w:eastAsia="Calibri" w:hAnsi="Calibri"/>
          <w:color w:val="1A1A1A"/>
          <w:sz w:val="21"/>
          <w:szCs w:val="21"/>
        </w:rPr>
        <w:t xml:space="preserve">Huiswerk voor deel 4: opdracht 3.5, volledig uitgewerkt. Dit document gebruiken deelnemers in deel 4 letterlijk als basis voor hun eigen identificatiesessie-oefening — zorg dat het af is voordat deel 4 begint.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Context bepalen laten voelen als afvinklijst. Het risico van dit deel is dat het zelf een invuloefening wordt — precies het verwijt dat aan risicomanagement in het algemeen wordt gemaakt. Gebruik daarom bij elk onderdeel een echte discussievraag (zie opdracht 3.3) in plaats van alleen definities te laten invullen.</w:t>
      </w:r>
    </w:p>
    <w:p>
      <w:pPr>
        <w:pStyle w:val="ListParagraph"/>
        <w:numPr>
          <w:ilvl w:val="0"/>
          <w:numId w:val="2"/>
        </w:numPr>
        <w:spacing w:after="100" w:line="280"/>
      </w:pPr>
      <w:r>
        <w:rPr>
          <w:rFonts w:ascii="Calibri" w:cs="Calibri" w:eastAsia="Calibri" w:hAnsi="Calibri"/>
          <w:color w:val="1A1A1A"/>
          <w:sz w:val="21"/>
          <w:szCs w:val="21"/>
        </w:rPr>
        <w:t xml:space="preserve">De twee namenlijsten (ISO 31000 en M_o_R) als test van uit-het-hoofd-kennis behandelen. Dat is niet het doel. Zeg dat expliciet: het gaat om het herkennen van het patroon — vier bewegingen, twee doorlopende activiteiten — niet om reproductie van namen. Bewaar precieze reproductie voor het M_o_R-examen in niveau 2.</w:t>
      </w:r>
    </w:p>
    <w:p>
      <w:pPr>
        <w:pStyle w:val="ListParagraph"/>
        <w:numPr>
          <w:ilvl w:val="0"/>
          <w:numId w:val="2"/>
        </w:numPr>
        <w:spacing w:after="100" w:line="280"/>
      </w:pPr>
      <w:r>
        <w:rPr>
          <w:rFonts w:ascii="Calibri" w:cs="Calibri" w:eastAsia="Calibri" w:hAnsi="Calibri"/>
          <w:color w:val="1A1A1A"/>
          <w:sz w:val="21"/>
          <w:szCs w:val="21"/>
        </w:rPr>
        <w:t xml:space="preserve">Impactschalen met vage bijvoeglijke naamwoorden laten passeren. Dit is de belangrijkste kwaliteitscontrole van het hele deel. Als bij opdracht 3.4 een deelnemer ‘aanzienlijke impact’ opschrijft zonder getal of drempel, grijp dan meteen in — dit is exact de fout van het oude WGP 2.0-register en het beste moment om dat te laten voelen.</w:t>
      </w:r>
    </w:p>
    <w:p>
      <w:pPr>
        <w:pStyle w:val="ListParagraph"/>
        <w:numPr>
          <w:ilvl w:val="0"/>
          <w:numId w:val="2"/>
        </w:numPr>
        <w:spacing w:after="100" w:line="280"/>
      </w:pPr>
      <w:r>
        <w:rPr>
          <w:rFonts w:ascii="Calibri" w:cs="Calibri" w:eastAsia="Calibri" w:hAnsi="Calibri"/>
          <w:color w:val="1A1A1A"/>
          <w:sz w:val="21"/>
          <w:szCs w:val="21"/>
        </w:rPr>
        <w:t xml:space="preserve">Risicobereidheid te uitgebreid behandelen. Dit deel introduceert het begrip alleen als grove, verbale uitspraak. De volledige uitwerking (appetite, capaciteit, toleranties als operationeel instrument) is voor deel 12 in niveau 2. Als de discussie daarheen dreigt te gaan, benoem dat kort en parkeer het.</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Compliance- en auditachtergrond.</w:t>
      </w:r>
      <w:r>
        <w:rPr>
          <w:rFonts w:ascii="Calibri" w:cs="Calibri" w:eastAsia="Calibri" w:hAnsi="Calibri"/>
          <w:color w:val="1A1A1A"/>
          <w:sz w:val="21"/>
          <w:szCs w:val="21"/>
        </w:rPr>
        <w:t xml:space="preserve"> Herkennen dit deel het snelst en vinden het waarschijnlijk het minst spannende deel tot nu toe. Zet hen in als criticasters bij de bespreking van opdracht 3.4 en 3.5 — laat hen scherp doorvragen op vage criteria bij andere deelnemers.</w:t>
      </w:r>
    </w:p>
    <w:p>
      <w:pPr>
        <w:spacing w:after="180" w:line="300"/>
        <w:jc w:val="both"/>
      </w:pPr>
      <w:r>
        <w:rPr>
          <w:rFonts w:ascii="Calibri" w:cs="Calibri" w:eastAsia="Calibri" w:hAnsi="Calibri"/>
          <w:b/>
          <w:bCs/>
          <w:color w:val="1B2A4A"/>
          <w:sz w:val="21"/>
          <w:szCs w:val="21"/>
        </w:rPr>
        <w:t xml:space="preserve">Projectmanagers.</w:t>
      </w:r>
      <w:r>
        <w:rPr>
          <w:rFonts w:ascii="Calibri" w:cs="Calibri" w:eastAsia="Calibri" w:hAnsi="Calibri"/>
          <w:color w:val="1A1A1A"/>
          <w:sz w:val="21"/>
          <w:szCs w:val="21"/>
        </w:rPr>
        <w:t xml:space="preserve"> Neigen ernaar context te verwarren met scope (uit hun eigen vakgebied). Verduidelijk het onderscheid: scope is wát het project oplevert, context is de omgeving waarbinnen risico's worden beoordeeld — breder dan scope alleen.</w:t>
      </w:r>
    </w:p>
    <w:p>
      <w:pPr>
        <w:spacing w:after="180" w:line="300"/>
        <w:jc w:val="both"/>
      </w:pPr>
      <w:r>
        <w:rPr>
          <w:rFonts w:ascii="Calibri" w:cs="Calibri" w:eastAsia="Calibri" w:hAnsi="Calibri"/>
          <w:b/>
          <w:bCs/>
          <w:color w:val="1B2A4A"/>
          <w:sz w:val="21"/>
          <w:szCs w:val="21"/>
        </w:rPr>
        <w:t xml:space="preserve">Deelnemers zonder projectervaring.</w:t>
      </w:r>
      <w:r>
        <w:rPr>
          <w:rFonts w:ascii="Calibri" w:cs="Calibri" w:eastAsia="Calibri" w:hAnsi="Calibri"/>
          <w:color w:val="1A1A1A"/>
          <w:sz w:val="21"/>
          <w:szCs w:val="21"/>
        </w:rPr>
        <w:t xml:space="preserve"> Kunnen moeite hebben met opdracht 3.4 als ze geen concreet project voor ogen hebben. Bied als alternatief nadrukkelijk de WGP 2.0-herstart aan als oefenobject, zoals in de uitwerking beschreven.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Waarom voelt ‘context bepalen’ als bureaucratie, terwijl ‘risico's identificeren’ als het echte werk voelt — terwijl beide even noodzakelijk zijn?</w:t>
      </w:r>
    </w:p>
    <w:p>
      <w:pPr>
        <w:pStyle w:val="ListParagraph"/>
        <w:numPr>
          <w:ilvl w:val="0"/>
          <w:numId w:val="2"/>
        </w:numPr>
        <w:spacing w:after="100" w:line="280"/>
      </w:pPr>
      <w:r>
        <w:rPr>
          <w:rFonts w:ascii="Calibri" w:cs="Calibri" w:eastAsia="Calibri" w:hAnsi="Calibri"/>
          <w:color w:val="1A1A1A"/>
          <w:sz w:val="21"/>
          <w:szCs w:val="21"/>
        </w:rPr>
        <w:t xml:space="preserve">Als context per project of programma verschilt, hoe voorkom je dan dat elk team zijn eigen, onvergelijkbare schaal gaat gebruiken binnen dezelfde organisatie? (Vooruitwijzing naar deel 17: geaggregeerd risico vereist vergelijkbare schalen — zonder dat wordt optellen onmogelijk.)</w:t>
      </w:r>
    </w:p>
    <w:p>
      <w:pPr>
        <w:pStyle w:val="ListParagraph"/>
        <w:numPr>
          <w:ilvl w:val="0"/>
          <w:numId w:val="2"/>
        </w:numPr>
        <w:spacing w:after="100" w:line="280"/>
      </w:pPr>
      <w:r>
        <w:rPr>
          <w:rFonts w:ascii="Calibri" w:cs="Calibri" w:eastAsia="Calibri" w:hAnsi="Calibri"/>
          <w:color w:val="1A1A1A"/>
          <w:sz w:val="21"/>
          <w:szCs w:val="21"/>
        </w:rPr>
        <w:t xml:space="preserve">Wanneer heb jij voor het laatst een impact- of kansschaal gezien die daadwerkelijk was gekoppeld aan concrete doelstellingen, in plaats van generieke niveaus als ‘laag/midden/hoog’ zonder toelichting?</w:t>
      </w:r>
    </w:p>
    <w:p>
      <w:pPr>
        <w:pStyle w:val="Heading2"/>
        <w:spacing w:after="160" w:before="360"/>
      </w:pPr>
      <w:r>
        <w:rPr>
          <w:rFonts w:ascii="Calibri" w:cs="Calibri" w:eastAsia="Calibri" w:hAnsi="Calibri"/>
          <w:b/>
          <w:bCs/>
          <w:color w:val="2C5AA0"/>
          <w:sz w:val="26"/>
          <w:szCs w:val="26"/>
        </w:rPr>
        <w:t xml:space="preserve">Antwoordmodel voor de moeilijkste bespreking (opdracht 3.4)</w:t>
      </w:r>
    </w:p>
    <w:p>
      <w:pPr>
        <w:spacing w:after="180" w:line="300"/>
        <w:jc w:val="both"/>
      </w:pPr>
      <w:r>
        <w:rPr>
          <w:rFonts w:ascii="Calibri" w:cs="Calibri" w:eastAsia="Calibri" w:hAnsi="Calibri"/>
          <w:color w:val="1A1A1A"/>
          <w:sz w:val="21"/>
          <w:szCs w:val="21"/>
        </w:rPr>
        <w:t xml:space="preserve">De meest voorkomende zwakke inzending gebruikt woorden als ‘beperkt’, ‘merkbaar’ en ‘ernstig’ zonder getallen erachter. Laat de groep zelf het probleem ontdekken door te vragen: als twee verschillende mensen deze schaal gebruiken om hetzelfde risico te scoren, komen ze dan op hetzelfde getal uit? Bij een schaal met alleen bijvoeglijke naamwoorden is het antwoord meestal nee — en dat is precies waarom een score zonder criterium geen meting is (kernzin 2). Laat vervolgens dezelfde deelnemer de schaal herschrijven met een concreet getal, datum of bedrag erachter, en laat de groep beoordelen of twee mensen er nu wél tot hetzelfde getal zouden komen.</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(fictieve) gesprek tussen Sanne en de Compliance-collega, eventueel als kort rollenspel om het dagdeel te openen in plaats van alleen voor te lezen.</w:t>
      </w:r>
    </w:p>
    <w:p>
      <w:pPr>
        <w:pStyle w:val="ListParagraph"/>
        <w:numPr>
          <w:ilvl w:val="0"/>
          <w:numId w:val="2"/>
        </w:numPr>
        <w:spacing w:after="100" w:line="280"/>
      </w:pPr>
      <w:r>
        <w:rPr>
          <w:rFonts w:ascii="Calibri" w:cs="Calibri" w:eastAsia="Calibri" w:hAnsi="Calibri"/>
          <w:color w:val="1A1A1A"/>
          <w:sz w:val="21"/>
          <w:szCs w:val="21"/>
        </w:rPr>
        <w:t xml:space="preserve">Flipover of digitaal whiteboard voor het gezamenlijk bouwen van een impactschaal in de bespreking van opdracht 3.4.</w:t>
      </w:r>
    </w:p>
    <w:p>
      <w:pPr>
        <w:pStyle w:val="ListParagraph"/>
        <w:numPr>
          <w:ilvl w:val="0"/>
          <w:numId w:val="2"/>
        </w:numPr>
        <w:spacing w:after="100" w:line="280"/>
      </w:pPr>
      <w:r>
        <w:rPr>
          <w:rFonts w:ascii="Calibri" w:cs="Calibri" w:eastAsia="Calibri" w:hAnsi="Calibri"/>
          <w:color w:val="1A1A1A"/>
          <w:sz w:val="21"/>
          <w:szCs w:val="21"/>
        </w:rPr>
        <w:t xml:space="preserve">Optioneel: laat deelnemers, indien beschikbaar, een bestaande kans- of impactschaal uit hun eigen organisatie meenemen en toets die tegen kernzin 2.</w:t>
      </w:r>
    </w:p>
    <w:p>
      <w:pPr>
        <w:pStyle w:val="Heading2"/>
        <w:spacing w:after="160" w:before="360"/>
      </w:pPr>
      <w:r>
        <w:rPr>
          <w:rFonts w:ascii="Calibri" w:cs="Calibri" w:eastAsia="Calibri" w:hAnsi="Calibri"/>
          <w:b/>
          <w:bCs/>
          <w:color w:val="2C5AA0"/>
          <w:sz w:val="26"/>
          <w:szCs w:val="26"/>
        </w:rPr>
        <w:t xml:space="preserve">Aansluiting op deel 4</w:t>
      </w:r>
    </w:p>
    <w:p>
      <w:pPr>
        <w:spacing w:after="180" w:line="300"/>
        <w:jc w:val="both"/>
      </w:pPr>
      <w:r>
        <w:rPr>
          <w:rFonts w:ascii="Calibri" w:cs="Calibri" w:eastAsia="Calibri" w:hAnsi="Calibri"/>
          <w:color w:val="1A1A1A"/>
          <w:sz w:val="21"/>
          <w:szCs w:val="21"/>
        </w:rPr>
        <w:t xml:space="preserve">Sluit af met: het context- en criteriadocument uit opdracht 3.5 is geen huiswerk dat wordt ingeleverd en vergeten — het is het instrument waarmee deel 4 werkt. Wie dit dagdeel zonder een af document verlaat, mist het fundament voor de eerste identificatiesessie.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2026-08-16T07:08:18.399Z</dcterms:created>
  <dcterms:modified xsi:type="dcterms:W3CDTF">2026-08-16T07:08:18.400Z</dcterms:modified>
</cp:coreProperties>
</file>

<file path=docProps/custom.xml><?xml version="1.0" encoding="utf-8"?>
<Properties xmlns="http://schemas.openxmlformats.org/officeDocument/2006/custom-properties" xmlns:vt="http://schemas.openxmlformats.org/officeDocument/2006/docPropsVTypes"/>
</file>