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Calibri" w:cs="Calibri" w:eastAsia="Calibri" w:hAnsi="Calibri"/>
          <w:b/>
          <w:bCs/>
          <w:color w:val="1B2A4A"/>
          <w:sz w:val="44"/>
          <w:szCs w:val="44"/>
        </w:rPr>
        <w:t xml:space="preserve">RISICOMANAGEMENT</w:t>
      </w:r>
    </w:p>
    <w:p>
      <w:pPr>
        <w:spacing w:before="300"/>
        <w:jc w:val="center"/>
      </w:pPr>
      <w:r>
        <w:rPr>
          <w:rFonts w:ascii="Calibri" w:cs="Calibri" w:eastAsia="Calibri" w:hAnsi="Calibri"/>
          <w:color w:val="2C5AA0"/>
          <w:sz w:val="32"/>
          <w:szCs w:val="32"/>
        </w:rPr>
        <w:t xml:space="preserve">Deel 3 — Het proces, en de stap die iedereen overslaat</w:t>
      </w:r>
    </w:p>
    <w:p>
      <w:pPr>
        <w:spacing w:before="600"/>
        <w:jc w:val="center"/>
      </w:pPr>
      <w:r>
        <w:rPr>
          <w:rFonts w:ascii="Calibri" w:cs="Calibri" w:eastAsia="Calibri" w:hAnsi="Calibri"/>
          <w:b/>
          <w:bCs/>
          <w:color w:val="1B2A4A"/>
          <w:sz w:val="24"/>
          <w:szCs w:val="24"/>
        </w:rPr>
        <w:t xml:space="preserve">Niveau 1 — Fundament</w:t>
      </w:r>
    </w:p>
    <w:p>
      <w:pPr>
        <w:spacing w:before="200"/>
        <w:jc w:val="center"/>
      </w:pPr>
      <w:r>
        <w:rPr>
          <w:rFonts w:ascii="Calibri" w:cs="Calibri" w:eastAsia="Calibri" w:hAnsi="Calibri"/>
          <w:i/>
          <w:iCs/>
          <w:color w:val="D99A3D"/>
          <w:sz w:val="24"/>
          <w:szCs w:val="24"/>
        </w:rPr>
        <w:t xml:space="preserve">Werkboek</w:t>
      </w:r>
    </w:p>
    <w:p>
      <w:pPr>
        <w:spacing w:before="1200"/>
        <w:jc w:val="center"/>
      </w:pPr>
      <w:r>
        <w:rPr>
          <w:rFonts w:ascii="Calibri" w:cs="Calibri" w:eastAsia="Calibri" w:hAnsi="Calibri"/>
          <w:color w:val="8B93A5"/>
          <w:sz w:val="20"/>
          <w:szCs w:val="20"/>
        </w:rPr>
        <w:t xml:space="preserve">Ductus</w:t>
      </w:r>
    </w:p>
    <w:p>
      <w:r>
        <w:br w:type="page"/>
      </w:r>
    </w:p>
    <w:p>
      <w:pPr>
        <w:pStyle w:val="Heading1"/>
        <w:pBdr>
          <w:bottom w:val="single" w:color="1B2A4A" w:sz="6" w:space="4"/>
        </w:pBdr>
        <w:spacing w:after="240" w:before="480"/>
      </w:pPr>
      <w:r>
        <w:rPr>
          <w:rFonts w:ascii="Calibri" w:cs="Calibri" w:eastAsia="Calibri" w:hAnsi="Calibri"/>
          <w:b/>
          <w:bCs/>
          <w:color w:val="1B2A4A"/>
          <w:sz w:val="32"/>
          <w:szCs w:val="32"/>
        </w:rPr>
        <w:t xml:space="preserve">Deel 3 — Werkboek</w:t>
      </w:r>
    </w:p>
    <w:p>
      <w:pPr>
        <w:spacing w:after="180" w:line="300"/>
        <w:jc w:val="both"/>
      </w:pPr>
      <w:r>
        <w:rPr>
          <w:rFonts w:ascii="Calibri" w:cs="Calibri" w:eastAsia="Calibri" w:hAnsi="Calibri"/>
          <w:i/>
          <w:iCs/>
          <w:color w:val="1A1A1A"/>
          <w:sz w:val="21"/>
          <w:szCs w:val="21"/>
        </w:rPr>
        <w:t xml:space="preserve">Werk de opdrachten uit vóórdat je de uitwerking leest.</w:t>
      </w:r>
    </w:p>
    <w:p>
      <w:pPr>
        <w:pStyle w:val="Heading2"/>
        <w:spacing w:after="160" w:before="360"/>
      </w:pPr>
      <w:r>
        <w:rPr>
          <w:rFonts w:ascii="Calibri" w:cs="Calibri" w:eastAsia="Calibri" w:hAnsi="Calibri"/>
          <w:b/>
          <w:bCs/>
          <w:color w:val="2C5AA0"/>
          <w:sz w:val="26"/>
          <w:szCs w:val="26"/>
        </w:rPr>
        <w:t xml:space="preserve">Opdracht 3.1 — De cyclus in eigen woorden</w:t>
      </w:r>
    </w:p>
    <w:p>
      <w:pPr>
        <w:spacing w:after="180" w:line="300"/>
        <w:jc w:val="both"/>
      </w:pPr>
      <w:r>
        <w:rPr>
          <w:rFonts w:ascii="Calibri" w:cs="Calibri" w:eastAsia="Calibri" w:hAnsi="Calibri"/>
          <w:color w:val="1A1A1A"/>
          <w:sz w:val="21"/>
          <w:szCs w:val="21"/>
        </w:rPr>
        <w:t xml:space="preserve">Teken (op papier of in tekst) de ISO 31000-procescyclus uit het hoofd, vóórdat je terugbladert. Zet er daarna naast: welke twee activiteiten lopen doorlopend, in plaats van als losse stap?</w:t>
      </w:r>
    </w:p>
    <w:tbl>
      <w:tblPr>
        <w:tblW w:type="pct" w:w="100%"/>
        <w:tblBorders>
          <w:top w:val="single" w:color="1B2A4A" w:sz="2"/>
          <w:left w:val="single" w:color="1B2A4A" w:sz="2"/>
          <w:bottom w:val="single" w:color="1B2A4A" w:sz="2"/>
          <w:right w:val="single" w:color="1B2A4A" w:sz="2"/>
          <w:insideH w:val="none" w:color="FFFFFF" w:sz="0"/>
          <w:insideV w:val="none" w:color="FFFFFF" w:sz="0"/>
        </w:tblBorders>
      </w:tblPr>
      <w:tblGrid>
        <w:gridCol w:w="100"/>
      </w:tblGrid>
      <w:tr>
        <w:tc>
          <w:tcPr>
            <w:shd w:fill="E8E9EC" w:color="auto" w:val="clear"/>
            <w:tcMar>
              <w:top w:type="dxa" w:w="180"/>
              <w:left w:type="dxa" w:w="240"/>
              <w:bottom w:type="dxa" w:w="180"/>
              <w:right w:type="dxa" w:w="240"/>
            </w:tcMar>
          </w:tcPr>
          <w:p>
            <w:pPr>
              <w:spacing w:after="80"/>
            </w:pPr>
            <w:r>
              <w:rPr>
                <w:rFonts w:ascii="Calibri" w:cs="Calibri" w:eastAsia="Calibri" w:hAnsi="Calibri"/>
                <w:b/>
                <w:bCs/>
                <w:color w:val="1B2A4A"/>
                <w:sz w:val="20"/>
                <w:szCs w:val="20"/>
              </w:rPr>
              <w:t xml:space="preserve">Uitwerking</w:t>
            </w:r>
          </w:p>
          <w:p>
            <w:r>
              <w:rPr>
                <w:rFonts w:ascii="Calibri" w:cs="Calibri" w:eastAsia="Calibri" w:hAnsi="Calibri"/>
                <w:color w:val="1A1A1A"/>
                <w:sz w:val="20"/>
                <w:szCs w:val="20"/>
              </w:rPr>
              <w:t xml:space="preserve">Kern: context bepalen → risicobeoordeling (identificeren → analyseren → evalueren) → risicobehandeling.
Doorlopend, niet als losse stap: communicatie en consultatie; monitoring en review. Registratie en rapportage omvat het geheel.
Veelgemaakte fout: communicatie en monitoring als laatste stap tekenen, ná risicobehandeling. Dat is precies de denkfout die de cyclus wil voorkomen — het suggereert dat je pas aan het eind communiceert en monitort, terwijl beide de hele cyclus door lopen. Wijs hier expliciet op als het gebeurt.</w:t>
            </w:r>
          </w:p>
        </w:tc>
      </w:tr>
    </w:tbl>
    <w:p>
      <w:pPr>
        <w:spacing w:after="180" w:line="300"/>
        <w:jc w:val="both"/>
      </w:pPr>
      <w:r>
        <w:rPr>
          <w:rFonts w:ascii="Calibri" w:cs="Calibri" w:eastAsia="Calibri" w:hAnsi="Calibri"/>
          <w:color w:val="1A1A1A"/>
          <w:sz w:val="21"/>
          <w:szCs w:val="21"/>
        </w:rPr>
        <w:t xml:space="preserve"/>
      </w:r>
    </w:p>
    <w:p>
      <w:pPr>
        <w:pStyle w:val="Heading2"/>
        <w:spacing w:after="160" w:before="360"/>
      </w:pPr>
      <w:r>
        <w:rPr>
          <w:rFonts w:ascii="Calibri" w:cs="Calibri" w:eastAsia="Calibri" w:hAnsi="Calibri"/>
          <w:b/>
          <w:bCs/>
          <w:color w:val="2C5AA0"/>
          <w:sz w:val="26"/>
          <w:szCs w:val="26"/>
        </w:rPr>
        <w:t xml:space="preserve">Opdracht 3.2 — Twee namenlijsten, één beweging</w:t>
      </w:r>
    </w:p>
    <w:p>
      <w:pPr>
        <w:spacing w:after="180" w:line="300"/>
        <w:jc w:val="both"/>
      </w:pPr>
      <w:r>
        <w:rPr>
          <w:rFonts w:ascii="Calibri" w:cs="Calibri" w:eastAsia="Calibri" w:hAnsi="Calibri"/>
          <w:color w:val="1A1A1A"/>
          <w:sz w:val="21"/>
          <w:szCs w:val="21"/>
        </w:rPr>
        <w:t xml:space="preserve">Vul de tabel in: koppel elk M_o_R-proces aan het overeenkomstige onderdeel van de ISO 31000-cyclus.</w:t>
      </w:r>
    </w:p>
    <w:tbl>
      <w:tblPr>
        <w:tblW w:type="pct" w:w="100%"/>
        <w:tblBorders>
          <w:top w:val="single" w:color="C7CCD6" w:sz="2"/>
          <w:left w:val="single" w:color="C7CCD6" w:sz="2"/>
          <w:bottom w:val="single" w:color="C7CCD6" w:sz="2"/>
          <w:right w:val="single" w:color="C7CCD6" w:sz="2"/>
          <w:insideH w:val="single" w:color="C7CCD6" w:sz="2"/>
          <w:insideV w:val="single" w:color="C7CCD6" w:sz="2"/>
        </w:tblBorders>
      </w:tblPr>
      <w:tblGrid>
        <w:gridCol w:w="3272"/>
        <w:gridCol w:w="6077"/>
      </w:tblGrid>
      <w:tr>
        <w:trPr>
          <w:tblHeader/>
        </w:trPr>
        <w:tc>
          <w:tcPr>
            <w:tcW w:type="pct" w:w="35%"/>
            <w:shd w:fill="1B2A4A" w:color="auto" w:val="clear"/>
            <w:tcMar>
              <w:top w:type="dxa" w:w="120"/>
              <w:left w:type="dxa" w:w="160"/>
              <w:bottom w:type="dxa" w:w="120"/>
              <w:right w:type="dxa" w:w="160"/>
            </w:tcMar>
          </w:tcPr>
          <w:p>
            <w:r>
              <w:rPr>
                <w:rFonts w:ascii="Calibri" w:cs="Calibri" w:eastAsia="Calibri" w:hAnsi="Calibri"/>
                <w:b/>
                <w:bCs/>
                <w:color w:val="FFFFFF"/>
                <w:sz w:val="19"/>
                <w:szCs w:val="19"/>
              </w:rPr>
              <w:t xml:space="preserve">M_o_R-proces</w:t>
            </w:r>
          </w:p>
        </w:tc>
        <w:tc>
          <w:tcPr>
            <w:tcW w:type="pct" w:w="65%"/>
            <w:shd w:fill="1B2A4A" w:color="auto" w:val="clear"/>
            <w:tcMar>
              <w:top w:type="dxa" w:w="120"/>
              <w:left w:type="dxa" w:w="160"/>
              <w:bottom w:type="dxa" w:w="120"/>
              <w:right w:type="dxa" w:w="160"/>
            </w:tcMar>
          </w:tcPr>
          <w:p>
            <w:r>
              <w:rPr>
                <w:rFonts w:ascii="Calibri" w:cs="Calibri" w:eastAsia="Calibri" w:hAnsi="Calibri"/>
                <w:b/>
                <w:bCs/>
                <w:color w:val="FFFFFF"/>
                <w:sz w:val="19"/>
                <w:szCs w:val="19"/>
              </w:rPr>
              <w:t xml:space="preserve">ISO 31000-onderdeel</w:t>
            </w:r>
          </w:p>
        </w:tc>
      </w:tr>
      <w:tr>
        <w:tc>
          <w:tcPr>
            <w:tcW w:type="pct" w:w="35%"/>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Identificeren</w:t>
            </w:r>
          </w:p>
        </w:tc>
        <w:tc>
          <w:tcPr>
            <w:tcW w:type="pct" w:w="65%"/>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
            </w:r>
          </w:p>
        </w:tc>
      </w:tr>
      <w:tr>
        <w:tc>
          <w:tcPr>
            <w:tcW w:type="pct" w:w="35%"/>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Beoordelen</w:t>
            </w:r>
          </w:p>
        </w:tc>
        <w:tc>
          <w:tcPr>
            <w:tcW w:type="pct" w:w="65%"/>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
            </w:r>
          </w:p>
        </w:tc>
      </w:tr>
      <w:tr>
        <w:tc>
          <w:tcPr>
            <w:tcW w:type="pct" w:w="35%"/>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Plannen</w:t>
            </w:r>
          </w:p>
        </w:tc>
        <w:tc>
          <w:tcPr>
            <w:tcW w:type="pct" w:w="65%"/>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
            </w:r>
          </w:p>
        </w:tc>
      </w:tr>
      <w:tr>
        <w:tc>
          <w:tcPr>
            <w:tcW w:type="pct" w:w="35%"/>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Implementeren</w:t>
            </w:r>
          </w:p>
        </w:tc>
        <w:tc>
          <w:tcPr>
            <w:tcW w:type="pct" w:w="65%"/>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
            </w:r>
          </w:p>
        </w:tc>
      </w:tr>
      <w:tr>
        <w:tc>
          <w:tcPr>
            <w:tcW w:type="pct" w:w="35%"/>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Communiceren</w:t>
            </w:r>
          </w:p>
        </w:tc>
        <w:tc>
          <w:tcPr>
            <w:tcW w:type="pct" w:w="65%"/>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
            </w:r>
          </w:p>
        </w:tc>
      </w:tr>
      <w:tr>
        <w:tc>
          <w:tcPr>
            <w:tcW w:type="pct" w:w="35%"/>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Embedden en reviewen</w:t>
            </w:r>
          </w:p>
        </w:tc>
        <w:tc>
          <w:tcPr>
            <w:tcW w:type="pct" w:w="65%"/>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
            </w:r>
          </w:p>
        </w:tc>
      </w:tr>
    </w:tbl>
    <w:p>
      <w:pPr>
        <w:spacing w:after="180" w:line="300"/>
        <w:jc w:val="both"/>
      </w:pPr>
      <w:r>
        <w:rPr>
          <w:rFonts w:ascii="Calibri" w:cs="Calibri" w:eastAsia="Calibri" w:hAnsi="Calibri"/>
          <w:color w:val="1A1A1A"/>
          <w:sz w:val="21"/>
          <w:szCs w:val="21"/>
        </w:rPr>
        <w:t xml:space="preserve"/>
      </w:r>
    </w:p>
    <w:tbl>
      <w:tblPr>
        <w:tblW w:type="pct" w:w="100%"/>
        <w:tblBorders>
          <w:top w:val="single" w:color="1B2A4A" w:sz="2"/>
          <w:left w:val="single" w:color="1B2A4A" w:sz="2"/>
          <w:bottom w:val="single" w:color="1B2A4A" w:sz="2"/>
          <w:right w:val="single" w:color="1B2A4A" w:sz="2"/>
          <w:insideH w:val="none" w:color="FFFFFF" w:sz="0"/>
          <w:insideV w:val="none" w:color="FFFFFF" w:sz="0"/>
        </w:tblBorders>
      </w:tblPr>
      <w:tblGrid>
        <w:gridCol w:w="100"/>
      </w:tblGrid>
      <w:tr>
        <w:tc>
          <w:tcPr>
            <w:shd w:fill="E8E9EC" w:color="auto" w:val="clear"/>
            <w:tcMar>
              <w:top w:type="dxa" w:w="180"/>
              <w:left w:type="dxa" w:w="240"/>
              <w:bottom w:type="dxa" w:w="180"/>
              <w:right w:type="dxa" w:w="240"/>
            </w:tcMar>
          </w:tcPr>
          <w:p>
            <w:pPr>
              <w:spacing w:after="80"/>
            </w:pPr>
            <w:r>
              <w:rPr>
                <w:rFonts w:ascii="Calibri" w:cs="Calibri" w:eastAsia="Calibri" w:hAnsi="Calibri"/>
                <w:b/>
                <w:bCs/>
                <w:color w:val="1B2A4A"/>
                <w:sz w:val="20"/>
                <w:szCs w:val="20"/>
              </w:rPr>
              <w:t xml:space="preserve">Uitwerking</w:t>
            </w:r>
          </w:p>
          <w:p>
            <w:r>
              <w:rPr>
                <w:rFonts w:ascii="Calibri" w:cs="Calibri" w:eastAsia="Calibri" w:hAnsi="Calibri"/>
                <w:color w:val="1A1A1A"/>
                <w:sz w:val="20"/>
                <w:szCs w:val="20"/>
              </w:rPr>
              <w:t xml:space="preserve">Identificeren → Context bepalen + het identificatiedeel van risicobeoordeling.
Beoordelen → Het analyse- en evaluatiedeel van risicobeoordeling.
Plannen → Het begin van risicobehandeling — respons kiezen en vastleggen.
Implementeren → Risicobehandeling uitvoeren.
Communiceren → Communicatie en consultatie.
Embedden en reviewen → Monitoring en review, plus de organisatorische inbeddingslaag uit ISO 31000's raamwerk.
Discussiepunt: ‘identificeren’ bij M_o_R omvat zowel context als risico's zelf, terwijl ISO 31000 die twee als aparte onderdelen van de cyclus behandelt. Dat is geen tegenspraak — het is een andere groepering van dezelfde inhoud. Laat de groep zelf ontdekken dat er geen 1-op-1 vertaling bestaat en dat dat ook niet nodig is.</w:t>
            </w:r>
          </w:p>
        </w:tc>
      </w:tr>
    </w:tbl>
    <w:p>
      <w:pPr>
        <w:spacing w:after="180" w:line="300"/>
        <w:jc w:val="both"/>
      </w:pPr>
      <w:r>
        <w:rPr>
          <w:rFonts w:ascii="Calibri" w:cs="Calibri" w:eastAsia="Calibri" w:hAnsi="Calibri"/>
          <w:color w:val="1A1A1A"/>
          <w:sz w:val="21"/>
          <w:szCs w:val="21"/>
        </w:rPr>
        <w:t xml:space="preserve"/>
      </w:r>
    </w:p>
    <w:p>
      <w:pPr>
        <w:pStyle w:val="Heading2"/>
        <w:spacing w:after="160" w:before="360"/>
      </w:pPr>
      <w:r>
        <w:rPr>
          <w:rFonts w:ascii="Calibri" w:cs="Calibri" w:eastAsia="Calibri" w:hAnsi="Calibri"/>
          <w:b/>
          <w:bCs/>
          <w:color w:val="2C5AA0"/>
          <w:sz w:val="26"/>
          <w:szCs w:val="26"/>
        </w:rPr>
        <w:t xml:space="preserve">Opdracht 3.3 — Wat had Sanne moeten vragen?</w:t>
      </w:r>
    </w:p>
    <w:p>
      <w:pPr>
        <w:spacing w:after="180" w:line="300"/>
        <w:jc w:val="both"/>
      </w:pPr>
      <w:r>
        <w:rPr>
          <w:rFonts w:ascii="Calibri" w:cs="Calibri" w:eastAsia="Calibri" w:hAnsi="Calibri"/>
          <w:color w:val="1A1A1A"/>
          <w:sz w:val="21"/>
          <w:szCs w:val="21"/>
        </w:rPr>
        <w:t xml:space="preserve">Terug naar het gesprek aan het begin van dit deel: de Compliance-collega stelde Sanne twee vragen. Formuleer nu zelf drie vervolgvragen die Sanne aan de stuurgroep zou moeten stellen vóórdat het context- en criteriadocument wordt vastgesteld.</w:t>
      </w:r>
    </w:p>
    <w:tbl>
      <w:tblPr>
        <w:tblW w:type="pct" w:w="100%"/>
        <w:tblBorders>
          <w:top w:val="single" w:color="1B2A4A" w:sz="2"/>
          <w:left w:val="single" w:color="1B2A4A" w:sz="2"/>
          <w:bottom w:val="single" w:color="1B2A4A" w:sz="2"/>
          <w:right w:val="single" w:color="1B2A4A" w:sz="2"/>
          <w:insideH w:val="none" w:color="FFFFFF" w:sz="0"/>
          <w:insideV w:val="none" w:color="FFFFFF" w:sz="0"/>
        </w:tblBorders>
      </w:tblPr>
      <w:tblGrid>
        <w:gridCol w:w="100"/>
      </w:tblGrid>
      <w:tr>
        <w:tc>
          <w:tcPr>
            <w:shd w:fill="E8E9EC" w:color="auto" w:val="clear"/>
            <w:tcMar>
              <w:top w:type="dxa" w:w="180"/>
              <w:left w:type="dxa" w:w="240"/>
              <w:bottom w:type="dxa" w:w="180"/>
              <w:right w:type="dxa" w:w="240"/>
            </w:tcMar>
          </w:tcPr>
          <w:p>
            <w:pPr>
              <w:spacing w:after="80"/>
            </w:pPr>
            <w:r>
              <w:rPr>
                <w:rFonts w:ascii="Calibri" w:cs="Calibri" w:eastAsia="Calibri" w:hAnsi="Calibri"/>
                <w:b/>
                <w:bCs/>
                <w:color w:val="1B2A4A"/>
                <w:sz w:val="20"/>
                <w:szCs w:val="20"/>
              </w:rPr>
              <w:t xml:space="preserve">Uitwerking</w:t>
            </w:r>
          </w:p>
          <w:p>
            <w:r>
              <w:rPr>
                <w:rFonts w:ascii="Calibri" w:cs="Calibri" w:eastAsia="Calibri" w:hAnsi="Calibri"/>
                <w:color w:val="1A1A1A"/>
                <w:sz w:val="20"/>
                <w:szCs w:val="20"/>
              </w:rPr>
              <w:t xml:space="preserve">Drie voorbeelden — andere, goed onderbouwde vragen zijn ook juist:
1. ‘Wat is voor dit project de grens waarbij we vertraging nog gewoon zelf oplossen, en wanneer melden we het naar boven?’ — dit dwingt een eerste, grove uitspraak over risicobereidheid af, in plaats van dat iedereen daar in de praktijk zelf over beslist.
2. ‘Welke van onze eerdere ervaringen met WGP 2.0 horen we expliciet in de interne context te zetten, zodat niemand ze stilzwijgend als vanzelfsprekend beschouwt?’ — voorkomt dat lessen wel bekend zijn bij de aanwezigen, maar niet zijn vastgelegd voor wie er later bij komt.
3. ‘Is er een wettelijke of toezichtontwikkeling die we als externe context moeten meenemen, ook als die nu nog niet actueel lijkt?’ — voorkomt dat de externe context wordt beperkt tot wat op dit moment toevallig speelt.
Wat je hier moet meenemen: context bepalen is zelf ook een gesprek, geen invuloefening. De drie vragen hierboven zijn allemaal vragen die een discussie openen, geen vragen met een kort antwoord.</w:t>
            </w:r>
          </w:p>
        </w:tc>
      </w:tr>
    </w:tbl>
    <w:p>
      <w:pPr>
        <w:spacing w:after="180" w:line="300"/>
        <w:jc w:val="both"/>
      </w:pPr>
      <w:r>
        <w:rPr>
          <w:rFonts w:ascii="Calibri" w:cs="Calibri" w:eastAsia="Calibri" w:hAnsi="Calibri"/>
          <w:color w:val="1A1A1A"/>
          <w:sz w:val="21"/>
          <w:szCs w:val="21"/>
        </w:rPr>
        <w:t xml:space="preserve"/>
      </w:r>
    </w:p>
    <w:p>
      <w:pPr>
        <w:pStyle w:val="Heading2"/>
        <w:spacing w:after="160" w:before="360"/>
      </w:pPr>
      <w:r>
        <w:rPr>
          <w:rFonts w:ascii="Calibri" w:cs="Calibri" w:eastAsia="Calibri" w:hAnsi="Calibri"/>
          <w:b/>
          <w:bCs/>
          <w:color w:val="2C5AA0"/>
          <w:sz w:val="26"/>
          <w:szCs w:val="26"/>
        </w:rPr>
        <w:t xml:space="preserve">Opdracht 3.4 — Een impactschaal bouwen</w:t>
      </w:r>
    </w:p>
    <w:p>
      <w:pPr>
        <w:spacing w:after="180" w:line="300"/>
        <w:jc w:val="both"/>
      </w:pPr>
      <w:r>
        <w:rPr>
          <w:rFonts w:ascii="Calibri" w:cs="Calibri" w:eastAsia="Calibri" w:hAnsi="Calibri"/>
          <w:color w:val="1A1A1A"/>
          <w:sz w:val="21"/>
          <w:szCs w:val="21"/>
        </w:rPr>
        <w:t xml:space="preserve">Stel voor je eigen organisatie (of, als alternatief, voor de WGP 2.0-herstart) een impactschaal op met drie niveaus (laag/midden/hoog) langs minstens twee dimensies. Zorg dat elk niveau een concreet, verifieerbaar criterium bevat — geen bijvoeglijke naamwoorden zonder getal of feit erachter.</w:t>
      </w:r>
    </w:p>
    <w:tbl>
      <w:tblPr>
        <w:tblW w:type="pct" w:w="100%"/>
        <w:tblBorders>
          <w:top w:val="single" w:color="C7CCD6" w:sz="2"/>
          <w:left w:val="single" w:color="C7CCD6" w:sz="2"/>
          <w:bottom w:val="single" w:color="C7CCD6" w:sz="2"/>
          <w:right w:val="single" w:color="C7CCD6" w:sz="2"/>
          <w:insideH w:val="single" w:color="C7CCD6" w:sz="2"/>
          <w:insideV w:val="single" w:color="C7CCD6" w:sz="2"/>
        </w:tblBorders>
      </w:tblPr>
      <w:tblGrid>
        <w:gridCol w:w="1496"/>
        <w:gridCol w:w="4862"/>
        <w:gridCol w:w="2992"/>
      </w:tblGrid>
      <w:tr>
        <w:trPr>
          <w:tblHeader/>
        </w:trPr>
        <w:tc>
          <w:tcPr>
            <w:tcW w:type="pct" w:w="16%"/>
            <w:shd w:fill="1B2A4A" w:color="auto" w:val="clear"/>
            <w:tcMar>
              <w:top w:type="dxa" w:w="120"/>
              <w:left w:type="dxa" w:w="160"/>
              <w:bottom w:type="dxa" w:w="120"/>
              <w:right w:type="dxa" w:w="160"/>
            </w:tcMar>
          </w:tcPr>
          <w:p>
            <w:r>
              <w:rPr>
                <w:rFonts w:ascii="Calibri" w:cs="Calibri" w:eastAsia="Calibri" w:hAnsi="Calibri"/>
                <w:b/>
                <w:bCs/>
                <w:color w:val="FFFFFF"/>
                <w:sz w:val="19"/>
                <w:szCs w:val="19"/>
              </w:rPr>
              <w:t xml:space="preserve">Niveau</w:t>
            </w:r>
          </w:p>
        </w:tc>
        <w:tc>
          <w:tcPr>
            <w:tcW w:type="pct" w:w="52%"/>
            <w:shd w:fill="1B2A4A" w:color="auto" w:val="clear"/>
            <w:tcMar>
              <w:top w:type="dxa" w:w="120"/>
              <w:left w:type="dxa" w:w="160"/>
              <w:bottom w:type="dxa" w:w="120"/>
              <w:right w:type="dxa" w:w="160"/>
            </w:tcMar>
          </w:tcPr>
          <w:p>
            <w:r>
              <w:rPr>
                <w:rFonts w:ascii="Calibri" w:cs="Calibri" w:eastAsia="Calibri" w:hAnsi="Calibri"/>
                <w:b/>
                <w:bCs/>
                <w:color w:val="FFFFFF"/>
                <w:sz w:val="19"/>
                <w:szCs w:val="19"/>
              </w:rPr>
              <w:t xml:space="preserve">Tijd</w:t>
            </w:r>
          </w:p>
        </w:tc>
        <w:tc>
          <w:tcPr>
            <w:tcW w:type="pct" w:w="32%"/>
            <w:shd w:fill="1B2A4A" w:color="auto" w:val="clear"/>
            <w:tcMar>
              <w:top w:type="dxa" w:w="120"/>
              <w:left w:type="dxa" w:w="160"/>
              <w:bottom w:type="dxa" w:w="120"/>
              <w:right w:type="dxa" w:w="160"/>
            </w:tcMar>
          </w:tcPr>
          <w:p>
            <w:r>
              <w:rPr>
                <w:rFonts w:ascii="Calibri" w:cs="Calibri" w:eastAsia="Calibri" w:hAnsi="Calibri"/>
                <w:b/>
                <w:bCs/>
                <w:color w:val="FFFFFF"/>
                <w:sz w:val="19"/>
                <w:szCs w:val="19"/>
              </w:rPr>
              <w:t xml:space="preserve">Geld</w:t>
            </w:r>
          </w:p>
        </w:tc>
      </w:tr>
      <w:tr>
        <w:tc>
          <w:tcPr>
            <w:tcW w:type="pct" w:w="16%"/>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Laag</w:t>
            </w:r>
          </w:p>
        </w:tc>
        <w:tc>
          <w:tcPr>
            <w:tcW w:type="pct" w:w="52%"/>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&lt; 1 week vertraging</w:t>
            </w:r>
          </w:p>
        </w:tc>
        <w:tc>
          <w:tcPr>
            <w:tcW w:type="pct" w:w="32%"/>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&lt; €10.000</w:t>
            </w:r>
          </w:p>
        </w:tc>
      </w:tr>
      <w:tr>
        <w:tc>
          <w:tcPr>
            <w:tcW w:type="pct" w:w="16%"/>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Midden</w:t>
            </w:r>
          </w:p>
        </w:tc>
        <w:tc>
          <w:tcPr>
            <w:tcW w:type="pct" w:w="52%"/>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2–6 weken vertraging</w:t>
            </w:r>
          </w:p>
        </w:tc>
        <w:tc>
          <w:tcPr>
            <w:tcW w:type="pct" w:w="32%"/>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€10.000–€100.000</w:t>
            </w:r>
          </w:p>
        </w:tc>
      </w:tr>
      <w:tr>
        <w:tc>
          <w:tcPr>
            <w:tcW w:type="pct" w:w="16%"/>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Hoog</w:t>
            </w:r>
          </w:p>
        </w:tc>
        <w:tc>
          <w:tcPr>
            <w:tcW w:type="pct" w:w="52%"/>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&gt; 3 maanden vertraging of go-live in gevaar</w:t>
            </w:r>
          </w:p>
        </w:tc>
        <w:tc>
          <w:tcPr>
            <w:tcW w:type="pct" w:w="32%"/>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&gt; €500.000</w:t>
            </w:r>
          </w:p>
        </w:tc>
      </w:tr>
    </w:tbl>
    <w:p>
      <w:pPr>
        <w:spacing w:after="180" w:line="300"/>
        <w:jc w:val="both"/>
      </w:pPr>
      <w:r>
        <w:rPr>
          <w:rFonts w:ascii="Calibri" w:cs="Calibri" w:eastAsia="Calibri" w:hAnsi="Calibri"/>
          <w:color w:val="1A1A1A"/>
          <w:sz w:val="21"/>
          <w:szCs w:val="21"/>
        </w:rPr>
        <w:t xml:space="preserve"/>
      </w:r>
    </w:p>
    <w:tbl>
      <w:tblPr>
        <w:tblW w:type="pct" w:w="100%"/>
        <w:tblBorders>
          <w:top w:val="single" w:color="1B2A4A" w:sz="2"/>
          <w:left w:val="single" w:color="1B2A4A" w:sz="2"/>
          <w:bottom w:val="single" w:color="1B2A4A" w:sz="2"/>
          <w:right w:val="single" w:color="1B2A4A" w:sz="2"/>
          <w:insideH w:val="none" w:color="FFFFFF" w:sz="0"/>
          <w:insideV w:val="none" w:color="FFFFFF" w:sz="0"/>
        </w:tblBorders>
      </w:tblPr>
      <w:tblGrid>
        <w:gridCol w:w="100"/>
      </w:tblGrid>
      <w:tr>
        <w:tc>
          <w:tcPr>
            <w:shd w:fill="E8E9EC" w:color="auto" w:val="clear"/>
            <w:tcMar>
              <w:top w:type="dxa" w:w="180"/>
              <w:left w:type="dxa" w:w="240"/>
              <w:bottom w:type="dxa" w:w="180"/>
              <w:right w:type="dxa" w:w="240"/>
            </w:tcMar>
          </w:tcPr>
          <w:p>
            <w:pPr>
              <w:spacing w:after="80"/>
            </w:pPr>
            <w:r>
              <w:rPr>
                <w:rFonts w:ascii="Calibri" w:cs="Calibri" w:eastAsia="Calibri" w:hAnsi="Calibri"/>
                <w:b/>
                <w:bCs/>
                <w:color w:val="1B2A4A"/>
                <w:sz w:val="20"/>
                <w:szCs w:val="20"/>
              </w:rPr>
              <w:t xml:space="preserve">Uitwerking</w:t>
            </w:r>
          </w:p>
          <w:p>
            <w:r>
              <w:rPr>
                <w:rFonts w:ascii="Calibri" w:cs="Calibri" w:eastAsia="Calibri" w:hAnsi="Calibri"/>
                <w:color w:val="1A1A1A"/>
                <w:sz w:val="20"/>
                <w:szCs w:val="20"/>
              </w:rPr>
              <w:t xml:space="preserve">Er is geen vast antwoord; dit is een toepassingsopdracht op eigen praktijk. Gebruik het voorbeeld hierboven (voor WGP 2.0-herstart) als toetssteen voor de kwaliteit van de inzendingen.
Beoordelingscriterium bij nakijken: komt er ergens ‘aanzienlijk’, ‘groot’ of ‘significant’ voor zonder getal, datum of drempel erbij? Dan is de schaal nog niet af — precies de fout die het oude WGP 2.0-register maakte met ‘impact 5’ zonder toelichting.
Veelgemaakte fout: deelnemers maken vijf niveaus in plaats van de gevraagde drie, of vergeten een tweede dimensie (bijvoorbeeld alleen geld, geen tijd of kwaliteit). Wijs erop dat de schaal in paragraaf 3.5 van de reader met opzet drie dimensies gebruikt — tijd, geld, kwaliteit/reputatie — omdat één dimensie een vertekend beeld geeft: een risico kan financieel klein zijn en toch een zware reputatie-impact hebben.</w:t>
            </w:r>
          </w:p>
        </w:tc>
      </w:tr>
    </w:tbl>
    <w:p>
      <w:pPr>
        <w:spacing w:after="180" w:line="300"/>
        <w:jc w:val="both"/>
      </w:pPr>
      <w:r>
        <w:rPr>
          <w:rFonts w:ascii="Calibri" w:cs="Calibri" w:eastAsia="Calibri" w:hAnsi="Calibri"/>
          <w:color w:val="1A1A1A"/>
          <w:sz w:val="21"/>
          <w:szCs w:val="21"/>
        </w:rPr>
        <w:t xml:space="preserve"/>
      </w:r>
    </w:p>
    <w:p>
      <w:pPr>
        <w:pStyle w:val="Heading2"/>
        <w:spacing w:after="160" w:before="360"/>
      </w:pPr>
      <w:r>
        <w:rPr>
          <w:rFonts w:ascii="Calibri" w:cs="Calibri" w:eastAsia="Calibri" w:hAnsi="Calibri"/>
          <w:b/>
          <w:bCs/>
          <w:color w:val="2C5AA0"/>
          <w:sz w:val="26"/>
          <w:szCs w:val="26"/>
        </w:rPr>
        <w:t xml:space="preserve">Opdracht 3.5 — Context- en criteriadocument, kort</w:t>
      </w:r>
    </w:p>
    <w:p>
      <w:pPr>
        <w:spacing w:after="180" w:line="300"/>
        <w:jc w:val="both"/>
      </w:pPr>
      <w:r>
        <w:rPr>
          <w:rFonts w:ascii="Calibri" w:cs="Calibri" w:eastAsia="Calibri" w:hAnsi="Calibri"/>
          <w:color w:val="1A1A1A"/>
          <w:sz w:val="21"/>
          <w:szCs w:val="21"/>
        </w:rPr>
        <w:t xml:space="preserve">Schrijf, in maximaal één pagina, het context- en criteriadocument voor de WGP 2.0-herstart zoals Sanne dat zou opstellen. Gebruik de zeven onderdelen uit paragraaf 3.6 van de reader als kopjes. Je mag de kans- en impactschalen uit de reader hergebruiken.</w:t>
      </w:r>
    </w:p>
    <w:tbl>
      <w:tblPr>
        <w:tblW w:type="pct" w:w="100%"/>
        <w:tblBorders>
          <w:top w:val="single" w:color="1B2A4A" w:sz="2"/>
          <w:left w:val="single" w:color="1B2A4A" w:sz="2"/>
          <w:bottom w:val="single" w:color="1B2A4A" w:sz="2"/>
          <w:right w:val="single" w:color="1B2A4A" w:sz="2"/>
          <w:insideH w:val="none" w:color="FFFFFF" w:sz="0"/>
          <w:insideV w:val="none" w:color="FFFFFF" w:sz="0"/>
        </w:tblBorders>
      </w:tblPr>
      <w:tblGrid>
        <w:gridCol w:w="100"/>
      </w:tblGrid>
      <w:tr>
        <w:tc>
          <w:tcPr>
            <w:shd w:fill="E8E9EC" w:color="auto" w:val="clear"/>
            <w:tcMar>
              <w:top w:type="dxa" w:w="180"/>
              <w:left w:type="dxa" w:w="240"/>
              <w:bottom w:type="dxa" w:w="180"/>
              <w:right w:type="dxa" w:w="240"/>
            </w:tcMar>
          </w:tcPr>
          <w:p>
            <w:pPr>
              <w:spacing w:after="80"/>
            </w:pPr>
            <w:r>
              <w:rPr>
                <w:rFonts w:ascii="Calibri" w:cs="Calibri" w:eastAsia="Calibri" w:hAnsi="Calibri"/>
                <w:b/>
                <w:bCs/>
                <w:color w:val="1B2A4A"/>
                <w:sz w:val="20"/>
                <w:szCs w:val="20"/>
              </w:rPr>
              <w:t xml:space="preserve">Uitwerking</w:t>
            </w:r>
          </w:p>
          <w:p>
            <w:r>
              <w:rPr>
                <w:rFonts w:ascii="Calibri" w:cs="Calibri" w:eastAsia="Calibri" w:hAnsi="Calibri"/>
                <w:color w:val="1A1A1A"/>
                <w:sz w:val="20"/>
                <w:szCs w:val="20"/>
              </w:rPr>
              <w:t xml:space="preserve">Er is geen uitputtend modelantwoord — dit is een integratieopdracht die het hele deel samenbrengt. Controleer bij nakijken of alle zeven onderdelen aanwezig zijn en of ze intern consistent zijn: bijvoorbeeld, als bij risicobereidheid staat dat ‘onjuiste pensioenuitkeringen niet worden geaccepteerd’, moet de impactschaal een dimensie kwaliteit/gegevensjuistheid bevatten waarin dat zichtbaar wordt — anders spreken de twee onderdelen elkaar tegen.
Wat vaak ontbreekt in eerste versies: onderdeel 7, wie het document vaststelt en wanneer het wordt herzien. Dit is precies het onderdeel dat het verschil maakt tussen een levend document en een eenmalige exercitie — leg daar bij de bespreking de nadruk op.</w:t>
            </w:r>
          </w:p>
        </w:tc>
      </w:tr>
    </w:tbl>
    <w:p>
      <w:pPr>
        <w:spacing w:after="180" w:line="300"/>
        <w:jc w:val="both"/>
      </w:pPr>
      <w:r>
        <w:rPr>
          <w:rFonts w:ascii="Calibri" w:cs="Calibri" w:eastAsia="Calibri" w:hAnsi="Calibri"/>
          <w:color w:val="1A1A1A"/>
          <w:sz w:val="21"/>
          <w:szCs w:val="21"/>
        </w:rPr>
        <w:t xml:space="preserve"/>
      </w:r>
    </w:p>
    <w:p>
      <w:pPr>
        <w:pStyle w:val="Heading2"/>
        <w:spacing w:after="160" w:before="360"/>
      </w:pPr>
      <w:r>
        <w:rPr>
          <w:rFonts w:ascii="Calibri" w:cs="Calibri" w:eastAsia="Calibri" w:hAnsi="Calibri"/>
          <w:b/>
          <w:bCs/>
          <w:color w:val="2C5AA0"/>
          <w:sz w:val="26"/>
          <w:szCs w:val="26"/>
        </w:rPr>
        <w:t xml:space="preserve">Zelftoets deel 3</w:t>
      </w:r>
    </w:p>
    <w:p>
      <w:pPr>
        <w:pStyle w:val="ListParagraph"/>
        <w:numPr>
          <w:ilvl w:val="0"/>
          <w:numId w:val="2"/>
        </w:numPr>
        <w:spacing w:after="100" w:line="280"/>
      </w:pPr>
      <w:r>
        <w:rPr>
          <w:rFonts w:ascii="Calibri" w:cs="Calibri" w:eastAsia="Calibri" w:hAnsi="Calibri"/>
          <w:color w:val="1A1A1A"/>
          <w:sz w:val="21"/>
          <w:szCs w:val="21"/>
        </w:rPr>
        <w:t xml:space="preserve">1. Noem de vier hoofdonderdelen van de ISO 31000-procescyclus, in volgorde.</w:t>
      </w:r>
    </w:p>
    <w:p>
      <w:pPr>
        <w:pStyle w:val="ListParagraph"/>
        <w:numPr>
          <w:ilvl w:val="0"/>
          <w:numId w:val="2"/>
        </w:numPr>
        <w:spacing w:after="100" w:line="280"/>
      </w:pPr>
      <w:r>
        <w:rPr>
          <w:rFonts w:ascii="Calibri" w:cs="Calibri" w:eastAsia="Calibri" w:hAnsi="Calibri"/>
          <w:color w:val="1A1A1A"/>
          <w:sz w:val="21"/>
          <w:szCs w:val="21"/>
        </w:rPr>
        <w:t xml:space="preserve">2. Welke twee activiteiten lopen doorlopend door de cyclus heen, in plaats van als losse stap?</w:t>
      </w:r>
    </w:p>
    <w:p>
      <w:pPr>
        <w:pStyle w:val="ListParagraph"/>
        <w:numPr>
          <w:ilvl w:val="0"/>
          <w:numId w:val="2"/>
        </w:numPr>
        <w:spacing w:after="100" w:line="280"/>
      </w:pPr>
      <w:r>
        <w:rPr>
          <w:rFonts w:ascii="Calibri" w:cs="Calibri" w:eastAsia="Calibri" w:hAnsi="Calibri"/>
          <w:color w:val="1A1A1A"/>
          <w:sz w:val="21"/>
          <w:szCs w:val="21"/>
        </w:rPr>
        <w:t xml:space="preserve">3. Noem de vier opeenvolgende fasen van M_o_R, en de twee doorlopende activiteiten.</w:t>
      </w:r>
    </w:p>
    <w:p>
      <w:pPr>
        <w:pStyle w:val="ListParagraph"/>
        <w:numPr>
          <w:ilvl w:val="0"/>
          <w:numId w:val="2"/>
        </w:numPr>
        <w:spacing w:after="100" w:line="280"/>
      </w:pPr>
      <w:r>
        <w:rPr>
          <w:rFonts w:ascii="Calibri" w:cs="Calibri" w:eastAsia="Calibri" w:hAnsi="Calibri"/>
          <w:color w:val="1A1A1A"/>
          <w:sz w:val="21"/>
          <w:szCs w:val="21"/>
        </w:rPr>
        <w:t xml:space="preserve">4. Wat is kernzin 2 van deze cursus?</w:t>
      </w:r>
    </w:p>
    <w:p>
      <w:pPr>
        <w:pStyle w:val="ListParagraph"/>
        <w:numPr>
          <w:ilvl w:val="0"/>
          <w:numId w:val="2"/>
        </w:numPr>
        <w:spacing w:after="100" w:line="280"/>
      </w:pPr>
      <w:r>
        <w:rPr>
          <w:rFonts w:ascii="Calibri" w:cs="Calibri" w:eastAsia="Calibri" w:hAnsi="Calibri"/>
          <w:color w:val="1A1A1A"/>
          <w:sz w:val="21"/>
          <w:szCs w:val="21"/>
        </w:rPr>
        <w:t xml:space="preserve">5. Wat is het verschil tussen interne en externe context? Geef van elk één voorbeeld uit de Meridiaan-casus.</w:t>
      </w:r>
    </w:p>
    <w:p>
      <w:pPr>
        <w:pStyle w:val="ListParagraph"/>
        <w:numPr>
          <w:ilvl w:val="0"/>
          <w:numId w:val="2"/>
        </w:numPr>
        <w:spacing w:after="100" w:line="280"/>
      </w:pPr>
      <w:r>
        <w:rPr>
          <w:rFonts w:ascii="Calibri" w:cs="Calibri" w:eastAsia="Calibri" w:hAnsi="Calibri"/>
          <w:color w:val="1A1A1A"/>
          <w:sz w:val="21"/>
          <w:szCs w:val="21"/>
        </w:rPr>
        <w:t xml:space="preserve">6. Waarom moet een impactschaal aan echte doelstellingen gekoppeld zijn, in plaats van generiek te zijn?</w:t>
      </w:r>
    </w:p>
    <w:p>
      <w:pPr>
        <w:pStyle w:val="ListParagraph"/>
        <w:numPr>
          <w:ilvl w:val="0"/>
          <w:numId w:val="2"/>
        </w:numPr>
        <w:spacing w:after="100" w:line="280"/>
      </w:pPr>
      <w:r>
        <w:rPr>
          <w:rFonts w:ascii="Calibri" w:cs="Calibri" w:eastAsia="Calibri" w:hAnsi="Calibri"/>
          <w:color w:val="1A1A1A"/>
          <w:sz w:val="21"/>
          <w:szCs w:val="21"/>
        </w:rPr>
        <w:t xml:space="preserve">7. Wat hoort er, naast een kans- en een impactschaal, nog meer in een context- en criteriadocument te staan over hoeveel risico de organisatie accepteert?</w:t>
      </w:r>
    </w:p>
    <w:p>
      <w:pPr>
        <w:pStyle w:val="ListParagraph"/>
        <w:numPr>
          <w:ilvl w:val="0"/>
          <w:numId w:val="2"/>
        </w:numPr>
        <w:spacing w:after="100" w:line="280"/>
      </w:pPr>
      <w:r>
        <w:rPr>
          <w:rFonts w:ascii="Calibri" w:cs="Calibri" w:eastAsia="Calibri" w:hAnsi="Calibri"/>
          <w:color w:val="1A1A1A"/>
          <w:sz w:val="21"/>
          <w:szCs w:val="21"/>
        </w:rPr>
        <w:t xml:space="preserve">8. Waarom moet een context- en criteriadocument periodiek worden herzien?</w:t>
      </w:r>
    </w:p>
    <w:p>
      <w:pPr>
        <w:pStyle w:val="Heading2"/>
        <w:spacing w:after="160" w:before="360"/>
      </w:pPr>
      <w:r>
        <w:rPr>
          <w:rFonts w:ascii="Calibri" w:cs="Calibri" w:eastAsia="Calibri" w:hAnsi="Calibri"/>
          <w:b/>
          <w:bCs/>
          <w:color w:val="2C5AA0"/>
          <w:sz w:val="26"/>
          <w:szCs w:val="26"/>
        </w:rPr>
        <w:t xml:space="preserve">Antwoorden zelftoets</w:t>
      </w:r>
    </w:p>
    <w:p>
      <w:pPr>
        <w:spacing w:after="180" w:line="300"/>
        <w:jc w:val="both"/>
      </w:pPr>
      <w:r>
        <w:rPr>
          <w:rFonts w:ascii="Calibri" w:cs="Calibri" w:eastAsia="Calibri" w:hAnsi="Calibri"/>
          <w:color w:val="1A1A1A"/>
          <w:sz w:val="21"/>
          <w:szCs w:val="21"/>
        </w:rPr>
        <w:t xml:space="preserve">1. Context bepalen; risicobeoordeling (identificeren, analyseren, evalueren); risicobehandeling.</w:t>
      </w:r>
    </w:p>
    <w:p>
      <w:pPr>
        <w:spacing w:after="180" w:line="300"/>
        <w:jc w:val="both"/>
      </w:pPr>
      <w:r>
        <w:rPr>
          <w:rFonts w:ascii="Calibri" w:cs="Calibri" w:eastAsia="Calibri" w:hAnsi="Calibri"/>
          <w:color w:val="1A1A1A"/>
          <w:sz w:val="21"/>
          <w:szCs w:val="21"/>
        </w:rPr>
        <w:t xml:space="preserve">2. Communicatie en consultatie; monitoring en review.</w:t>
      </w:r>
    </w:p>
    <w:p>
      <w:pPr>
        <w:spacing w:after="180" w:line="300"/>
        <w:jc w:val="both"/>
      </w:pPr>
      <w:r>
        <w:rPr>
          <w:rFonts w:ascii="Calibri" w:cs="Calibri" w:eastAsia="Calibri" w:hAnsi="Calibri"/>
          <w:color w:val="1A1A1A"/>
          <w:sz w:val="21"/>
          <w:szCs w:val="21"/>
        </w:rPr>
        <w:t xml:space="preserve">3. Identificeren, beoordelen, plannen, implementeren; doorlopend: communiceren, embedden en reviewen.</w:t>
      </w:r>
    </w:p>
    <w:p>
      <w:pPr>
        <w:spacing w:after="180" w:line="300"/>
        <w:jc w:val="both"/>
      </w:pPr>
      <w:r>
        <w:rPr>
          <w:rFonts w:ascii="Calibri" w:cs="Calibri" w:eastAsia="Calibri" w:hAnsi="Calibri"/>
          <w:color w:val="1A1A1A"/>
          <w:sz w:val="21"/>
          <w:szCs w:val="21"/>
        </w:rPr>
        <w:t xml:space="preserve">4. Een score zonder vastgelegd criterium is geen meting, het is een indruk met een getal erop.</w:t>
      </w:r>
    </w:p>
    <w:p>
      <w:pPr>
        <w:spacing w:after="180" w:line="300"/>
        <w:jc w:val="both"/>
      </w:pPr>
      <w:r>
        <w:rPr>
          <w:rFonts w:ascii="Calibri" w:cs="Calibri" w:eastAsia="Calibri" w:hAnsi="Calibri"/>
          <w:color w:val="1A1A1A"/>
          <w:sz w:val="21"/>
          <w:szCs w:val="21"/>
        </w:rPr>
        <w:t xml:space="preserve">5. Interne context: alles binnen de organisatie (structuur, cultuur, capaciteiten) — bijvoorbeeld de exclusieve kennis bij Gerard Ploeg. Externe context: alles daarbuiten (wetgeving, toezicht, markt) — bijvoorbeeld het DNB/AFM-toezicht of de Wtp-transitie.</w:t>
      </w:r>
    </w:p>
    <w:p>
      <w:pPr>
        <w:spacing w:after="180" w:line="300"/>
        <w:jc w:val="both"/>
      </w:pPr>
      <w:r>
        <w:rPr>
          <w:rFonts w:ascii="Calibri" w:cs="Calibri" w:eastAsia="Calibri" w:hAnsi="Calibri"/>
          <w:color w:val="1A1A1A"/>
          <w:sz w:val="21"/>
          <w:szCs w:val="21"/>
        </w:rPr>
        <w:t xml:space="preserve">6. Omdat ‘erg’ voor de ene organisatie iets anders betekent dan voor de andere; zonder koppeling aan echte doelstellingen (tijd, geld, kwaliteit) wordt een score weer een mening, precies het probleem van het oude WGP 2.0-register.</w:t>
      </w:r>
    </w:p>
    <w:p>
      <w:pPr>
        <w:spacing w:after="180" w:line="300"/>
        <w:jc w:val="both"/>
      </w:pPr>
      <w:r>
        <w:rPr>
          <w:rFonts w:ascii="Calibri" w:cs="Calibri" w:eastAsia="Calibri" w:hAnsi="Calibri"/>
          <w:color w:val="1A1A1A"/>
          <w:sz w:val="21"/>
          <w:szCs w:val="21"/>
        </w:rPr>
        <w:t xml:space="preserve">7. Een eerste, grove uitspraak over risicobereidheid — in woorden, vóór er in cijfers wordt gescoord.</w:t>
      </w:r>
    </w:p>
    <w:p>
      <w:pPr>
        <w:spacing w:after="180" w:line="300"/>
        <w:jc w:val="both"/>
      </w:pPr>
      <w:r>
        <w:rPr>
          <w:rFonts w:ascii="Calibri" w:cs="Calibri" w:eastAsia="Calibri" w:hAnsi="Calibri"/>
          <w:color w:val="1A1A1A"/>
          <w:sz w:val="21"/>
          <w:szCs w:val="21"/>
        </w:rPr>
        <w:t xml:space="preserve">8. Omdat context verandert bij een grote koerswijziging (nieuwe wet, gewijzigde scope, fusie); een niet-herzien document sluit steeds minder aan bij de werkelijkheid.</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2026-08-16T07:08:18.220Z</dcterms:created>
  <dcterms:modified xsi:type="dcterms:W3CDTF">2026-08-16T07:08:18.221Z</dcterms:modified>
</cp:coreProperties>
</file>

<file path=docProps/custom.xml><?xml version="1.0" encoding="utf-8"?>
<Properties xmlns="http://schemas.openxmlformats.org/officeDocument/2006/custom-properties" xmlns:vt="http://schemas.openxmlformats.org/officeDocument/2006/docPropsVTypes"/>
</file>