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4 — Identificatie: risico's systematisch boven tafel krijgen</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4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het eerste sterk werkvormgerichte deel van de cursus: minder theorie, meer oefenen in kleine groepen. Het is ook het deel waar deelnemers voor het eerst het context- en criteriadocument uit hun eigen huiswerk (opdracht 3.5) daadwerkelijk gebruiken — zorg dat iedereen dat document bij de hand heeft.</w:t>
      </w:r>
    </w:p>
    <w:p>
      <w:pPr>
        <w:spacing w:after="180" w:line="300"/>
        <w:jc w:val="both"/>
      </w:pPr>
      <w:r>
        <w:rPr>
          <w:rFonts w:ascii="Calibri" w:cs="Calibri" w:eastAsia="Calibri" w:hAnsi="Calibri"/>
          <w:color w:val="1A1A1A"/>
          <w:sz w:val="21"/>
          <w:szCs w:val="21"/>
        </w:rPr>
        <w:t xml:space="preserve">Het belangrijkste leerresultaat is niet de lijst van vijf technieken. Het is het inzicht dat identificatie een vak is met eigen instrumenten, in plaats van een kwestie van ‘iedereen om de tafel en brainstormen’ — en de vaardigheid om ruwe input te vertalen naar een volwaardige risicozin, wat in de praktijk het grootste kwaliteitsverschil maakt.</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uitleggen waarom vrije brainstorm structureel tekortschiet als enige identificatietechniek;</w:t>
      </w:r>
    </w:p>
    <w:p>
      <w:pPr>
        <w:pStyle w:val="ListParagraph"/>
        <w:numPr>
          <w:ilvl w:val="0"/>
          <w:numId w:val="2"/>
        </w:numPr>
        <w:spacing w:after="100" w:line="280"/>
      </w:pPr>
      <w:r>
        <w:rPr>
          <w:rFonts w:ascii="Calibri" w:cs="Calibri" w:eastAsia="Calibri" w:hAnsi="Calibri"/>
          <w:color w:val="1A1A1A"/>
          <w:sz w:val="21"/>
          <w:szCs w:val="21"/>
        </w:rPr>
        <w:t xml:space="preserve">de vijf identificatietechnieken toepassen en beargumenteren welke techniek bij welk type risico het meest oplevert;</w:t>
      </w:r>
    </w:p>
    <w:p>
      <w:pPr>
        <w:pStyle w:val="ListParagraph"/>
        <w:numPr>
          <w:ilvl w:val="0"/>
          <w:numId w:val="2"/>
        </w:numPr>
        <w:spacing w:after="100" w:line="280"/>
      </w:pPr>
      <w:r>
        <w:rPr>
          <w:rFonts w:ascii="Calibri" w:cs="Calibri" w:eastAsia="Calibri" w:hAnsi="Calibri"/>
          <w:color w:val="1A1A1A"/>
          <w:sz w:val="21"/>
          <w:szCs w:val="21"/>
        </w:rPr>
        <w:t xml:space="preserve">ruwe input uit een sessie vertalen naar een volledige risicozin via de drie stappen (oorzaak, gebeurtenis, gevolg);</w:t>
      </w:r>
    </w:p>
    <w:p>
      <w:pPr>
        <w:pStyle w:val="ListParagraph"/>
        <w:numPr>
          <w:ilvl w:val="0"/>
          <w:numId w:val="2"/>
        </w:numPr>
        <w:spacing w:after="100" w:line="280"/>
      </w:pPr>
      <w:r>
        <w:rPr>
          <w:rFonts w:ascii="Calibri" w:cs="Calibri" w:eastAsia="Calibri" w:hAnsi="Calibri"/>
          <w:color w:val="1A1A1A"/>
          <w:sz w:val="21"/>
          <w:szCs w:val="21"/>
        </w:rPr>
        <w:t xml:space="preserve">de vier rollen in een identificatiesessie toewijzen en beargumenteren waarom facilitator en dominante domeinexpert idealiter niet dezelfde persoon zijn.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3, korte check huiswerk</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Iedereen legt het eigen context- en criteriadocument klaar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mislukte herstart van de sessie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0:30–0:50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Waarom vrije brainstorm faalt</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6–8</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0:50–1:25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Vijf technieken geïntroduceerd</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9–15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1:25–1:40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1:40–2:20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Live oefensessie: technieken toepassen op elkaars projecten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Groepjes van vier à vijf, 30 min oefenen + 10 min terugkoppelen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2:20–2:35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2:35–3:00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Van ruwe input naar risicozin — drie stappen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16–19, opdracht 4.4 klassikaal</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3:00–3:20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Rollen in een sessie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20–22, opdracht 4.5 kort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Wat Sanne's sessie opleverde, vooruitblik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23–25</w:t>
            </w:r>
          </w:p>
        </w:tc>
      </w:tr>
    </w:tbl>
    <w:p>
      <w:pPr>
        <w:spacing w:after="180" w:line="300"/>
        <w:jc w:val="both"/>
      </w:pPr>
      <w:r>
        <w:rPr>
          <w:rFonts w:ascii="Calibri" w:cs="Calibri" w:eastAsia="Calibri" w:hAnsi="Calibri"/>
          <w:color w:val="1A1A1A"/>
          <w:sz w:val="21"/>
          <w:szCs w:val="21"/>
        </w:rPr>
        <w:t xml:space="preserve">Huiswerk voor deel 5: opdracht 4.1, 4.2 en 4.3. Vraag deelnemers bovendien om uit hun eigen oefensessie (1:40–2:20) minstens drie risico's mee te nemen naar deel 5, volledig uitgewerkt als risicozin — dat materiaal wordt daar gebruikt voor de kwalitatieve analyse.</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vijf technieken als checklist laten voelen in plaats van als gereedschapskist. Benadruk dat geen enkele sessie alle vijf gebruikt — een goede facilitator kiest er twee of drie, passend bij tijd en groep, en combineert ze bewust. Vermijd de indruk dat er een verplichte volgorde is.</w:t>
      </w:r>
    </w:p>
    <w:p>
      <w:pPr>
        <w:pStyle w:val="ListParagraph"/>
        <w:numPr>
          <w:ilvl w:val="0"/>
          <w:numId w:val="2"/>
        </w:numPr>
        <w:spacing w:after="100" w:line="280"/>
      </w:pPr>
      <w:r>
        <w:rPr>
          <w:rFonts w:ascii="Calibri" w:cs="Calibri" w:eastAsia="Calibri" w:hAnsi="Calibri"/>
          <w:color w:val="1A1A1A"/>
          <w:sz w:val="21"/>
          <w:szCs w:val="21"/>
        </w:rPr>
        <w:t xml:space="preserve">De oefensessie laten ontsporen in oplossingen zoeken. Deelnemers hebben de neiging om bij een genoemd risico meteen naar maatregelen te springen (‘dan doen we toch gewoon…’). Grijp in: in dit deel wordt niets opgelost, alleen geïdentificeerd. Maatregelen komen in deel 6.</w:t>
      </w:r>
    </w:p>
    <w:p>
      <w:pPr>
        <w:pStyle w:val="ListParagraph"/>
        <w:numPr>
          <w:ilvl w:val="0"/>
          <w:numId w:val="2"/>
        </w:numPr>
        <w:spacing w:after="100" w:line="280"/>
      </w:pPr>
      <w:r>
        <w:rPr>
          <w:rFonts w:ascii="Calibri" w:cs="Calibri" w:eastAsia="Calibri" w:hAnsi="Calibri"/>
          <w:color w:val="1A1A1A"/>
          <w:sz w:val="21"/>
          <w:szCs w:val="21"/>
        </w:rPr>
        <w:t xml:space="preserve">De vertaalslag (4.3) overslaan omdat de tijd al op is. Dit is het meest waardevolle onderdeel van het hele deel en wordt het eerst geschrapt bij tijdsdruk. Bewaak dit bewust — kort desnoods de oefensessie in, niet de bespreking van de vertaalslag.</w:t>
      </w:r>
    </w:p>
    <w:p>
      <w:pPr>
        <w:pStyle w:val="ListParagraph"/>
        <w:numPr>
          <w:ilvl w:val="0"/>
          <w:numId w:val="2"/>
        </w:numPr>
        <w:spacing w:after="100" w:line="280"/>
      </w:pPr>
      <w:r>
        <w:rPr>
          <w:rFonts w:ascii="Calibri" w:cs="Calibri" w:eastAsia="Calibri" w:hAnsi="Calibri"/>
          <w:color w:val="1A1A1A"/>
          <w:sz w:val="21"/>
          <w:szCs w:val="21"/>
        </w:rPr>
        <w:t xml:space="preserve">Pre-mortem te licht opvatten. Het voelt speels (‘stel je voor dat het over een jaar mislukt is’) en wordt daardoor soms niet serieus genomen. Leg uit waaróm het werkt: het omzeilt het sociale ongemak van ‘risico's benoemen als kritiek op het heden’ door het gesprek in een fictieve toekomst te plaatsen. Voor groepen met een cultuur van terughoudendheid — zoals bij Meridiaan — is dit vaak de meest waardevolle techniek van de vijf.</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Ervaren projectmanagers.</w:t>
      </w:r>
      <w:r>
        <w:rPr>
          <w:rFonts w:ascii="Calibri" w:cs="Calibri" w:eastAsia="Calibri" w:hAnsi="Calibri"/>
          <w:color w:val="1A1A1A"/>
          <w:sz w:val="21"/>
          <w:szCs w:val="21"/>
        </w:rPr>
        <w:t xml:space="preserve"> Hebben vaak al een impliciete versie van categorie-gestuurde identificatie en herkennen die snel. Laat hen bij de oefensessie de rol van domeinexpert innemen in plaats van facilitator — precies de omkering die Sanne in de casus toepast, en een goede aanleiding om paragraaf 4.4 te bespreken.</w:t>
      </w:r>
    </w:p>
    <w:p>
      <w:pPr>
        <w:spacing w:after="180" w:line="300"/>
        <w:jc w:val="both"/>
      </w:pPr>
      <w:r>
        <w:rPr>
          <w:rFonts w:ascii="Calibri" w:cs="Calibri" w:eastAsia="Calibri" w:hAnsi="Calibri"/>
          <w:b/>
          <w:bCs/>
          <w:color w:val="1B2A4A"/>
          <w:sz w:val="21"/>
          <w:szCs w:val="21"/>
        </w:rPr>
        <w:t xml:space="preserve">Deelnemers met een sterk inhoudelijke, technische achtergrond (ontwikkelaars, architecten).</w:t>
      </w:r>
      <w:r>
        <w:rPr>
          <w:rFonts w:ascii="Calibri" w:cs="Calibri" w:eastAsia="Calibri" w:hAnsi="Calibri"/>
          <w:color w:val="1A1A1A"/>
          <w:sz w:val="21"/>
          <w:szCs w:val="21"/>
        </w:rPr>
        <w:t xml:space="preserve"> Zijn vaak goed in aannameanalyse (het ligt dicht bij technisch specificeren) maar minder comfortabel met pre-mortem, dat een meer verhalende, verbeeldende modus vraagt. Beide vormen expliciet waarderen voorkomt dat de sessie eenzijdig wordt.</w:t>
      </w:r>
    </w:p>
    <w:p>
      <w:pPr>
        <w:spacing w:after="180" w:line="300"/>
        <w:jc w:val="both"/>
      </w:pPr>
      <w:r>
        <w:rPr>
          <w:rFonts w:ascii="Calibri" w:cs="Calibri" w:eastAsia="Calibri" w:hAnsi="Calibri"/>
          <w:b/>
          <w:bCs/>
          <w:color w:val="1B2A4A"/>
          <w:sz w:val="21"/>
          <w:szCs w:val="21"/>
        </w:rPr>
        <w:t xml:space="preserve">Deelnemers uit een organisatie met een sterke meldingscultuur.</w:t>
      </w:r>
      <w:r>
        <w:rPr>
          <w:rFonts w:ascii="Calibri" w:cs="Calibri" w:eastAsia="Calibri" w:hAnsi="Calibri"/>
          <w:color w:val="1A1A1A"/>
          <w:sz w:val="21"/>
          <w:szCs w:val="21"/>
        </w:rPr>
        <w:t xml:space="preserve"> Zullen misschien zeggen dat pre-mortem bij hen niet nodig is. Vraag door: is dat omdat er werkelijk niets te verbergen valt, of omdat de organisatie dat zelf ook nog nooit heeft getoetst? Vaak blijkt de aanname zelf niet eerder onderzocht.</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Welke risicocategorie wordt in jouw organisatie het vaakst over het hoofd gezien bij identificatiesessies, en waarom juist die?</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cultuur waarin pre-mortem makkelijker zou werken dan direct vragen ‘wat kan er misgaan’? Wat zegt dat over de organisatie?</w:t>
      </w:r>
    </w:p>
    <w:p>
      <w:pPr>
        <w:pStyle w:val="ListParagraph"/>
        <w:numPr>
          <w:ilvl w:val="0"/>
          <w:numId w:val="2"/>
        </w:numPr>
        <w:spacing w:after="100" w:line="280"/>
      </w:pPr>
      <w:r>
        <w:rPr>
          <w:rFonts w:ascii="Calibri" w:cs="Calibri" w:eastAsia="Calibri" w:hAnsi="Calibri"/>
          <w:color w:val="1A1A1A"/>
          <w:sz w:val="21"/>
          <w:szCs w:val="21"/>
        </w:rPr>
        <w:t xml:space="preserve">Sanne koos ervoor zelf te faciliteren in plaats van de projectmanager. Wat zijn de risico's van die keuze? (Stuur naar: de facilitator heeft dan zelf ook een belang bij de uitkomst — risicomanager en risico-eigenaar zijn niet dezelfde rol, zie deel 7.)</w:t>
      </w:r>
    </w:p>
    <w:p>
      <w:pPr>
        <w:pStyle w:val="Heading2"/>
        <w:spacing w:after="160" w:before="360"/>
      </w:pPr>
      <w:r>
        <w:rPr>
          <w:rFonts w:ascii="Calibri" w:cs="Calibri" w:eastAsia="Calibri" w:hAnsi="Calibri"/>
          <w:b/>
          <w:bCs/>
          <w:color w:val="2C5AA0"/>
          <w:sz w:val="26"/>
          <w:szCs w:val="26"/>
        </w:rPr>
        <w:t xml:space="preserve">Antwoordmodel voor de moeilijkste bespreking (opdracht 4.4, fragment b)</w:t>
      </w:r>
    </w:p>
    <w:p>
      <w:pPr>
        <w:spacing w:after="180" w:line="300"/>
        <w:jc w:val="both"/>
      </w:pPr>
      <w:r>
        <w:rPr>
          <w:rFonts w:ascii="Calibri" w:cs="Calibri" w:eastAsia="Calibri" w:hAnsi="Calibri"/>
          <w:color w:val="1A1A1A"/>
          <w:sz w:val="21"/>
          <w:szCs w:val="21"/>
        </w:rPr>
        <w:t xml:space="preserve">Fragment b — de wetgevingsonzekerheid — wordt bijna altijd in eerste instantie fout geformuleerd, met de onzekerheid in de oorzaakpositie: ‘doordat de wetgeving misschien wordt uitgesteld, kan…’. Laat de groep dit zelf herkennen door de eerste zelfcontrolevraag uit deel 1 te herhalen: is de oorzaak vandaag vast te stellen? Het feit dat vandaag vaststaat is niet ‘de wetgeving wordt uitgesteld’ (dat is juist onzeker) maar ‘het wetsvoorstel is nog niet definitief aangenomen en de parlementaire behandeling loopt’. Dat onderscheid — tussen de onzekere toekomstige gebeurtenis en het zekere heden waarin die onzekerheid al aanwezig is — is precies de vaardigheid die dit hele deel opbouwt.</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Elk deelnemer heeft het eigen context- en criteriadocument (opdracht 3.5) fysiek of digitaal bij de hand.</w:t>
      </w:r>
    </w:p>
    <w:p>
      <w:pPr>
        <w:pStyle w:val="ListParagraph"/>
        <w:numPr>
          <w:ilvl w:val="0"/>
          <w:numId w:val="2"/>
        </w:numPr>
        <w:spacing w:after="100" w:line="280"/>
      </w:pPr>
      <w:r>
        <w:rPr>
          <w:rFonts w:ascii="Calibri" w:cs="Calibri" w:eastAsia="Calibri" w:hAnsi="Calibri"/>
          <w:color w:val="1A1A1A"/>
          <w:sz w:val="21"/>
          <w:szCs w:val="21"/>
        </w:rPr>
        <w:t xml:space="preserve">Flipovers of digitale whiteboards per groepje voor de oefensessie, één per techniek indien er tijd is voor meerdere rondes.</w:t>
      </w:r>
    </w:p>
    <w:p>
      <w:pPr>
        <w:pStyle w:val="ListParagraph"/>
        <w:numPr>
          <w:ilvl w:val="0"/>
          <w:numId w:val="2"/>
        </w:numPr>
        <w:spacing w:after="100" w:line="280"/>
      </w:pPr>
      <w:r>
        <w:rPr>
          <w:rFonts w:ascii="Calibri" w:cs="Calibri" w:eastAsia="Calibri" w:hAnsi="Calibri"/>
          <w:color w:val="1A1A1A"/>
          <w:sz w:val="21"/>
          <w:szCs w:val="21"/>
        </w:rPr>
        <w:t xml:space="preserve">Optioneel: kaartjes met de vijf technieken erop, te verdelen over groepjes zodat niet elke groep dezelfde techniek gebruikt — dat levert bij de plenaire terugkoppeling een rijker beeld op van wat elke techniek oplevert.</w:t>
      </w:r>
    </w:p>
    <w:p>
      <w:pPr>
        <w:pStyle w:val="Heading2"/>
        <w:spacing w:after="160" w:before="360"/>
      </w:pPr>
      <w:r>
        <w:rPr>
          <w:rFonts w:ascii="Calibri" w:cs="Calibri" w:eastAsia="Calibri" w:hAnsi="Calibri"/>
          <w:b/>
          <w:bCs/>
          <w:color w:val="2C5AA0"/>
          <w:sz w:val="26"/>
          <w:szCs w:val="26"/>
        </w:rPr>
        <w:t xml:space="preserve">Aansluiting op deel 5</w:t>
      </w:r>
    </w:p>
    <w:p>
      <w:pPr>
        <w:spacing w:after="180" w:line="300"/>
        <w:jc w:val="both"/>
      </w:pPr>
      <w:r>
        <w:rPr>
          <w:rFonts w:ascii="Calibri" w:cs="Calibri" w:eastAsia="Calibri" w:hAnsi="Calibri"/>
          <w:color w:val="1A1A1A"/>
          <w:sz w:val="21"/>
          <w:szCs w:val="21"/>
        </w:rPr>
        <w:t xml:space="preserve">Sluit af met: de negentien risico's van Sanne's sessie liggen nu klaar, elk als volwaardige risicozin. De vraag van deel 5 is niet meer ‘wat kan er misgaan’, maar ‘hoe erg is dit, en hoe waarschijnlijk’ — en waarom de matrix die daarvoor bijna overal wordt gebruikt, een paar valkuilen heeft die weinig mensen kennen.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2026-08-16T07:13:21.737Z</dcterms:created>
  <dcterms:modified xsi:type="dcterms:W3CDTF">2026-08-16T07:13:21.739Z</dcterms:modified>
</cp:coreProperties>
</file>

<file path=docProps/custom.xml><?xml version="1.0" encoding="utf-8"?>
<Properties xmlns="http://schemas.openxmlformats.org/officeDocument/2006/custom-properties" xmlns:vt="http://schemas.openxmlformats.org/officeDocument/2006/docPropsVTypes"/>
</file>