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4 — Identificatie: risico's systematisch boven tafel krijgen</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Werkboek</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4 — Werkboek</w:t>
      </w:r>
    </w:p>
    <w:p>
      <w:pPr>
        <w:spacing w:after="180" w:line="300"/>
        <w:jc w:val="both"/>
      </w:pPr>
      <w:r>
        <w:rPr>
          <w:rFonts w:ascii="Calibri" w:cs="Calibri" w:eastAsia="Calibri" w:hAnsi="Calibri"/>
          <w:i/>
          <w:iCs/>
          <w:color w:val="1A1A1A"/>
          <w:sz w:val="21"/>
          <w:szCs w:val="21"/>
        </w:rPr>
        <w:t xml:space="preserve">Werk de opdrachten uit vóórdat je de uitwerking leest.</w:t>
      </w:r>
    </w:p>
    <w:p>
      <w:pPr>
        <w:pStyle w:val="Heading2"/>
        <w:spacing w:after="160" w:before="360"/>
      </w:pPr>
      <w:r>
        <w:rPr>
          <w:rFonts w:ascii="Calibri" w:cs="Calibri" w:eastAsia="Calibri" w:hAnsi="Calibri"/>
          <w:b/>
          <w:bCs/>
          <w:color w:val="2C5AA0"/>
          <w:sz w:val="26"/>
          <w:szCs w:val="26"/>
        </w:rPr>
        <w:t xml:space="preserve">Opdracht 4.1 — Welke techniek mist hier?</w:t>
      </w:r>
    </w:p>
    <w:p>
      <w:pPr>
        <w:spacing w:after="180" w:line="300"/>
        <w:jc w:val="both"/>
      </w:pPr>
      <w:r>
        <w:rPr>
          <w:rFonts w:ascii="Calibri" w:cs="Calibri" w:eastAsia="Calibri" w:hAnsi="Calibri"/>
          <w:color w:val="1A1A1A"/>
          <w:sz w:val="21"/>
          <w:szCs w:val="21"/>
        </w:rPr>
        <w:t xml:space="preserve">Een projectteam heeft een identificatiesessie gehouden met alleen vrije brainstorm. Hieronder staat wat er níet in de opbrengst zat, achteraf vastgesteld door een externe reviewer: geen enkel risico dat te maken heeft met de externe accountant, terwijl die een cruciale rol speelt bij de oplevering.</w:t>
      </w:r>
    </w:p>
    <w:p>
      <w:pPr>
        <w:spacing w:after="180" w:line="300"/>
        <w:jc w:val="both"/>
      </w:pPr>
      <w:r>
        <w:rPr>
          <w:rFonts w:ascii="Calibri" w:cs="Calibri" w:eastAsia="Calibri" w:hAnsi="Calibri"/>
          <w:color w:val="1A1A1A"/>
          <w:sz w:val="21"/>
          <w:szCs w:val="21"/>
        </w:rPr>
        <w:t xml:space="preserve">Welke van de vijf technieken uit dit deel had dit waarschijnlijk wél boven tafel gekregen, en waarom specifiek die?</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Categorie-gestuurde identificatie, mits ‘extern/derde partijen’ of ‘assurance/audit’ als vaste categorie is opgenomen. Vrije brainstorm mist dit type risico structureel omdat niemand in de sessie de accountant ‘top of mind’ heeft tijdens het projectwerk — die rol komt pas concreet in beeld rond de oplevering, ver weg van het moment van de sessie.
Ook verdedigbaar: aannameanalyse, als het projectplan een passage bevat als ‘de accountant zal de gebruikelijke werkzaamheden uitvoeren’ — dat is een aanname die, omgedraaid, het risico blootlegt.
Wat hier niet werkt: pre-mortem alleen is onvoldoende betrouwbaar hiervoor, omdat hij afhankelijk is van of iemand in de groep toevallig aan de accountant denkt tijdens het fictieve mislukkingsscenario. Het is een goede aanvullende techniek maar geen garantie voor categoriedekking — dat is precies waarom de reader technieken combineert in plaats van er één te kiezen.</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4.2 — Aannames vinden</w:t>
      </w:r>
    </w:p>
    <w:p>
      <w:pPr>
        <w:spacing w:after="180" w:line="300"/>
        <w:jc w:val="both"/>
      </w:pPr>
      <w:r>
        <w:rPr>
          <w:rFonts w:ascii="Calibri" w:cs="Calibri" w:eastAsia="Calibri" w:hAnsi="Calibri"/>
          <w:color w:val="1A1A1A"/>
          <w:sz w:val="21"/>
          <w:szCs w:val="21"/>
        </w:rPr>
        <w:t xml:space="preserve">Hieronder staat een fragment uit een (fictief) projectplan. Onderstreep, of noteer apart, elke uitspraak die eigenlijk een aanname is, en draai er één om tot een volledige risicozin.</w:t>
      </w:r>
    </w:p>
    <w:p>
      <w:pPr>
        <w:spacing w:after="180" w:line="300"/>
        <w:jc w:val="both"/>
      </w:pPr>
      <w:r>
        <w:rPr>
          <w:rFonts w:ascii="Calibri" w:cs="Calibri" w:eastAsia="Calibri" w:hAnsi="Calibri"/>
          <w:color w:val="1A1A1A"/>
          <w:sz w:val="21"/>
          <w:szCs w:val="21"/>
        </w:rPr>
        <w:t xml:space="preserve">“Het nieuwe mutatieplatform wordt gebouwd op het bestaande dataplatform van Meridiaan. We gaan ervan uit dat de huidige API-documentatie volstaat voor de koppelbouw. De projectgroep bestaat uit vier ontwikkelaars, die naar verwachting het hele project beschikbaar blijven. Testen vindt plaats in de bestaande testomgeving, die op dit moment door twee andere projecten wordt gebruikt maar waarvan capaciteit voldoende zal zijn.”</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Drie aannames zijn te vinden: 1) ‘We gaan ervan uit dat de huidige API-documentatie volstaat’; 2) ‘die naar verwachting het hele project beschikbaar blijven’; 3) ‘waarvan capaciteit voldoende zal zijn’.
Voorbeelduitwerking van de derde, omgedraaid tot risicozin: ‘Doordat de testomgeving gedeeld wordt met twee andere lopende projecten en er geen capaciteitsafspraken zijn vastgelegd, kan gelijktijdig testgebruik tot planningsconflicten leiden, waardoor testrondes worden vertraagd en de geplande opleverdatum in gevaar komt.’
Wat je hier moet meenemen: aannames zijn zelden dramatisch geformuleerd. Ze staan er vaak neutraal en geruststellend bij (‘naar verwachting’, ‘zal volstaan’) — juist dat geruststellende toontje is het signaal om door te vragen.</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4.3 — Pre-mortem</w:t>
      </w:r>
    </w:p>
    <w:p>
      <w:pPr>
        <w:spacing w:after="180" w:line="300"/>
        <w:jc w:val="both"/>
      </w:pPr>
      <w:r>
        <w:rPr>
          <w:rFonts w:ascii="Calibri" w:cs="Calibri" w:eastAsia="Calibri" w:hAnsi="Calibri"/>
          <w:color w:val="1A1A1A"/>
          <w:sz w:val="21"/>
          <w:szCs w:val="21"/>
        </w:rPr>
        <w:t xml:space="preserve">Voer voor jezelf (of in een tweetal) een korte pre-mortem uit op een project of taak uit je eigen praktijk. Stel je voor: het is over een jaar, en het project is mislukt. Schrijf drie zinnen op die beginnen met ‘Het ging mis omdat…’. Herschrijf er daarna één tot een volledige risicozin.</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Geen vast antwoord — dit is een toepassing op eigen praktijk. Let bij het nakijken op twee dingen: zijn de drie zinnen concreet genoeg om te herleiden tot een oorzaak, of blijven ze op het niveau van ‘het ging mis omdat het moeilijk was’ (te vaag om te herformuleren)? Is de herschreven risicozin daadwerkelijk in het doordat-kan-waardoor-patroon, met een oorzaak die vandaag al waar is?
Veelgemaakte fout: de pre-mortemzin wordt letterlijk overgenomen als risicozin zonder de drie stappen uit paragraaf 4.3 te doorlopen (oorzaak vinden, gebeurtenis scherp krijgen, gevolg koppelen). Een pre-mortemzin is ruwe input, geen eindproduct.</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4.4 — Van ruwe input naar risicozin</w:t>
      </w:r>
    </w:p>
    <w:p>
      <w:pPr>
        <w:spacing w:after="180" w:line="300"/>
        <w:jc w:val="both"/>
      </w:pPr>
      <w:r>
        <w:rPr>
          <w:rFonts w:ascii="Calibri" w:cs="Calibri" w:eastAsia="Calibri" w:hAnsi="Calibri"/>
          <w:color w:val="1A1A1A"/>
          <w:sz w:val="21"/>
          <w:szCs w:val="21"/>
        </w:rPr>
        <w:t xml:space="preserve">Onderstaande drie uitspraken zijn ruwe input uit een fictieve identificatiesessie. Werk ze uit tot volledige risicozinnen volgens de drie stappen uit paragraaf 4.3.</w:t>
      </w:r>
    </w:p>
    <w:p>
      <w:pPr>
        <w:spacing w:after="180" w:line="300"/>
        <w:jc w:val="both"/>
      </w:pPr>
      <w:r>
        <w:rPr>
          <w:rFonts w:ascii="Calibri" w:cs="Calibri" w:eastAsia="Calibri" w:hAnsi="Calibri"/>
          <w:color w:val="1A1A1A"/>
          <w:sz w:val="21"/>
          <w:szCs w:val="21"/>
        </w:rPr>
        <w:t xml:space="preserve">a) “Ik maak me zorgen over de planning rond de feestdagen.”</w:t>
      </w:r>
    </w:p>
    <w:p>
      <w:pPr>
        <w:spacing w:after="180" w:line="300"/>
        <w:jc w:val="both"/>
      </w:pPr>
      <w:r>
        <w:rPr>
          <w:rFonts w:ascii="Calibri" w:cs="Calibri" w:eastAsia="Calibri" w:hAnsi="Calibri"/>
          <w:color w:val="1A1A1A"/>
          <w:sz w:val="21"/>
          <w:szCs w:val="21"/>
        </w:rPr>
        <w:t xml:space="preserve">b) “Wat als de nieuwe wetgeving toch wordt uitgesteld en we voor niets aan het bouwen zijn?”</w:t>
      </w:r>
    </w:p>
    <w:p>
      <w:pPr>
        <w:spacing w:after="180" w:line="300"/>
        <w:jc w:val="both"/>
      </w:pPr>
      <w:r>
        <w:rPr>
          <w:rFonts w:ascii="Calibri" w:cs="Calibri" w:eastAsia="Calibri" w:hAnsi="Calibri"/>
          <w:color w:val="1A1A1A"/>
          <w:sz w:val="21"/>
          <w:szCs w:val="21"/>
        </w:rPr>
        <w:t xml:space="preserve">c) “Niemand controleert eigenlijk of de testresultaten wel kloppen.”</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Doordat de kerst- en jaarwisselingsperiode binnen de geplande bouwfase valt en de bezetting van het team in die periode structureel lager is, kan de geplande voortgang in die weken niet worden gehaald, waardoor de opleverdatum met naar schatting twee tot drie weken kan opschuiven.
b) Doordat het wetsvoorstel nog niet definitief is aangenomen en de parlementaire behandeling kan uitlopen, kan de bouw van de koppeling starten op basis van een specificatie die nog wijzigt, waardoor reeds gebouwde onderdelen moeten worden aangepast of weggegooid.
c) Doordat er geen rol is aangewezen die testresultaten onafhankelijk controleert vóór acceptatie, kan een onjuist geïnterpreteerd testresultaat als geslaagd worden geboekt, waardoor fouten pas na livegang aan het licht komen.
Beoordelingscriteria: controleer bij elk antwoord de vier zelfcontrolevragen uit deel 1 (oorzaak vandaag vast te stellen, gebeurtenis echt onzeker, gevolg gekoppeld aan meetbare doelstelling, oorzaak en gevolg vragen om verschillende maatregelen). Fragment b wordt vaak fout geformuleerd met de onzekerheid in de oorzaakpositie (‘doordat de wetgeving misschien wordt uitgesteld’) — wijs daarop als het gebeurt.</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4.5 — Rollen toewijzen</w:t>
      </w:r>
    </w:p>
    <w:p>
      <w:pPr>
        <w:spacing w:after="180" w:line="300"/>
        <w:jc w:val="both"/>
      </w:pPr>
      <w:r>
        <w:rPr>
          <w:rFonts w:ascii="Calibri" w:cs="Calibri" w:eastAsia="Calibri" w:hAnsi="Calibri"/>
          <w:color w:val="1A1A1A"/>
          <w:sz w:val="21"/>
          <w:szCs w:val="21"/>
        </w:rPr>
        <w:t xml:space="preserve">Je organiseert een identificatiesessie voor een project met zes deelnemers: een projectmanager die van nature veel praat en sterke meningen heeft, twee ontwikkelaars, een business-vertegenwoordiger, een inkoper, en jijzelf. Wijs de vier rollen uit paragraaf 4.4 toe en motiveer waarom je de projectmanager niet als facilitator kiest.</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Een verdedigbare toewijzing: Facilitator — jijzelf, buiten de inhoudelijke discussie, kan stiltes laten vallen en doorvragen zonder zelf een positie te verdedigen. Schrijver — één van de ontwikkelaars, of een aparte notulist als beschikbaar. Domeinexperts — de projectmanager, de andere ontwikkelaar, de business-vertegenwoordiger, de inkoper, ieder voor hun eigen categorie. Risico-eigenaar in spe — per risico tijdens de sessie kort benoemd, formeel toegewezen na afloop (zie deel 7).
Motivatie waarom de projectmanager geen facilitator wordt: iemand die van nature veel praat en sterke meningen heeft, zal als facilitator onbewust sturen naar zijn eigen zorgen en minder ruimte laten voor stiltes waarin anderen tot een antwoord komen. Zijn expertise is waardevoller ingezet als domeinexpert, waar hij juist wél inhoudelijk mag domineren — mits de facilitator andere stemmen actief blijft uitnodigen.</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Zelftoets deel 4</w:t>
      </w:r>
    </w:p>
    <w:p>
      <w:pPr>
        <w:pStyle w:val="ListParagraph"/>
        <w:numPr>
          <w:ilvl w:val="0"/>
          <w:numId w:val="2"/>
        </w:numPr>
        <w:spacing w:after="100" w:line="280"/>
      </w:pPr>
      <w:r>
        <w:rPr>
          <w:rFonts w:ascii="Calibri" w:cs="Calibri" w:eastAsia="Calibri" w:hAnsi="Calibri"/>
          <w:color w:val="1A1A1A"/>
          <w:sz w:val="21"/>
          <w:szCs w:val="21"/>
        </w:rPr>
        <w:t xml:space="preserve">1. Wat zijn de twee structurele zwaktes van vrije brainstorm als identificatietechniek?</w:t>
      </w:r>
    </w:p>
    <w:p>
      <w:pPr>
        <w:pStyle w:val="ListParagraph"/>
        <w:numPr>
          <w:ilvl w:val="0"/>
          <w:numId w:val="2"/>
        </w:numPr>
        <w:spacing w:after="100" w:line="280"/>
      </w:pPr>
      <w:r>
        <w:rPr>
          <w:rFonts w:ascii="Calibri" w:cs="Calibri" w:eastAsia="Calibri" w:hAnsi="Calibri"/>
          <w:color w:val="1A1A1A"/>
          <w:sz w:val="21"/>
          <w:szCs w:val="21"/>
        </w:rPr>
        <w:t xml:space="preserve">2. Noem de vijf identificatietechnieken uit dit deel.</w:t>
      </w:r>
    </w:p>
    <w:p>
      <w:pPr>
        <w:pStyle w:val="ListParagraph"/>
        <w:numPr>
          <w:ilvl w:val="0"/>
          <w:numId w:val="2"/>
        </w:numPr>
        <w:spacing w:after="100" w:line="280"/>
      </w:pPr>
      <w:r>
        <w:rPr>
          <w:rFonts w:ascii="Calibri" w:cs="Calibri" w:eastAsia="Calibri" w:hAnsi="Calibri"/>
          <w:color w:val="1A1A1A"/>
          <w:sz w:val="21"/>
          <w:szCs w:val="21"/>
        </w:rPr>
        <w:t xml:space="preserve">3. Welke techniek had het risico rond de externe accountant in opdracht 4.1 waarschijnlijk boven tafel gekregen, en waarom?</w:t>
      </w:r>
    </w:p>
    <w:p>
      <w:pPr>
        <w:pStyle w:val="ListParagraph"/>
        <w:numPr>
          <w:ilvl w:val="0"/>
          <w:numId w:val="2"/>
        </w:numPr>
        <w:spacing w:after="100" w:line="280"/>
      </w:pPr>
      <w:r>
        <w:rPr>
          <w:rFonts w:ascii="Calibri" w:cs="Calibri" w:eastAsia="Calibri" w:hAnsi="Calibri"/>
          <w:color w:val="1A1A1A"/>
          <w:sz w:val="21"/>
          <w:szCs w:val="21"/>
        </w:rPr>
        <w:t xml:space="preserve">4. Beschrijf de drie stappen om van ruwe input tot een volledige risicozin te komen.</w:t>
      </w:r>
    </w:p>
    <w:p>
      <w:pPr>
        <w:pStyle w:val="ListParagraph"/>
        <w:numPr>
          <w:ilvl w:val="0"/>
          <w:numId w:val="2"/>
        </w:numPr>
        <w:spacing w:after="100" w:line="280"/>
      </w:pPr>
      <w:r>
        <w:rPr>
          <w:rFonts w:ascii="Calibri" w:cs="Calibri" w:eastAsia="Calibri" w:hAnsi="Calibri"/>
          <w:color w:val="1A1A1A"/>
          <w:sz w:val="21"/>
          <w:szCs w:val="21"/>
        </w:rPr>
        <w:t xml:space="preserve">5. Noem de vier rollen in een identificatiesessie.</w:t>
      </w:r>
    </w:p>
    <w:p>
      <w:pPr>
        <w:pStyle w:val="ListParagraph"/>
        <w:numPr>
          <w:ilvl w:val="0"/>
          <w:numId w:val="2"/>
        </w:numPr>
        <w:spacing w:after="100" w:line="280"/>
      </w:pPr>
      <w:r>
        <w:rPr>
          <w:rFonts w:ascii="Calibri" w:cs="Calibri" w:eastAsia="Calibri" w:hAnsi="Calibri"/>
          <w:color w:val="1A1A1A"/>
          <w:sz w:val="21"/>
          <w:szCs w:val="21"/>
        </w:rPr>
        <w:t xml:space="preserve">6. Waarom is het geen goed idee als de projectmanager zowel facilitator als belangrijkste domeinexpert is?</w:t>
      </w:r>
    </w:p>
    <w:p>
      <w:pPr>
        <w:pStyle w:val="ListParagraph"/>
        <w:numPr>
          <w:ilvl w:val="0"/>
          <w:numId w:val="2"/>
        </w:numPr>
        <w:spacing w:after="100" w:line="280"/>
      </w:pPr>
      <w:r>
        <w:rPr>
          <w:rFonts w:ascii="Calibri" w:cs="Calibri" w:eastAsia="Calibri" w:hAnsi="Calibri"/>
          <w:color w:val="1A1A1A"/>
          <w:sz w:val="21"/>
          <w:szCs w:val="21"/>
        </w:rPr>
        <w:t xml:space="preserve">7. Waarom leverde Sanne's sessie negentien risico's op, tegenover zevenenveertig in het oude register — en waarom is dat geen achteruitgang?</w:t>
      </w:r>
    </w:p>
    <w:p>
      <w:pPr>
        <w:pStyle w:val="Heading2"/>
        <w:spacing w:after="160" w:before="360"/>
      </w:pPr>
      <w:r>
        <w:rPr>
          <w:rFonts w:ascii="Calibri" w:cs="Calibri" w:eastAsia="Calibri" w:hAnsi="Calibri"/>
          <w:b/>
          <w:bCs/>
          <w:color w:val="2C5AA0"/>
          <w:sz w:val="26"/>
          <w:szCs w:val="26"/>
        </w:rPr>
        <w:t xml:space="preserve">Antwoorden zelftoets</w:t>
      </w:r>
    </w:p>
    <w:p>
      <w:pPr>
        <w:spacing w:after="180" w:line="300"/>
        <w:jc w:val="both"/>
      </w:pPr>
      <w:r>
        <w:rPr>
          <w:rFonts w:ascii="Calibri" w:cs="Calibri" w:eastAsia="Calibri" w:hAnsi="Calibri"/>
          <w:color w:val="1A1A1A"/>
          <w:sz w:val="21"/>
          <w:szCs w:val="21"/>
        </w:rPr>
        <w:t xml:space="preserve">1. Hij leunt op wat mensen zich toevallig herinneren, en garandeert geen dekking van hele categorieën risico.</w:t>
      </w:r>
    </w:p>
    <w:p>
      <w:pPr>
        <w:spacing w:after="180" w:line="300"/>
        <w:jc w:val="both"/>
      </w:pPr>
      <w:r>
        <w:rPr>
          <w:rFonts w:ascii="Calibri" w:cs="Calibri" w:eastAsia="Calibri" w:hAnsi="Calibri"/>
          <w:color w:val="1A1A1A"/>
          <w:sz w:val="21"/>
          <w:szCs w:val="21"/>
        </w:rPr>
        <w:t xml:space="preserve">2. Categorie-gestuurde identificatie, oorzaak-gebeurtenis-gevolgketens vanuit doelstellingen, aannameanalyse, pre-mortem, toetsing tegen een eerdere post-mortem.</w:t>
      </w:r>
    </w:p>
    <w:p>
      <w:pPr>
        <w:spacing w:after="180" w:line="300"/>
        <w:jc w:val="both"/>
      </w:pPr>
      <w:r>
        <w:rPr>
          <w:rFonts w:ascii="Calibri" w:cs="Calibri" w:eastAsia="Calibri" w:hAnsi="Calibri"/>
          <w:color w:val="1A1A1A"/>
          <w:sz w:val="21"/>
          <w:szCs w:val="21"/>
        </w:rPr>
        <w:t xml:space="preserve">3. Categorie-gestuurde identificatie, met ‘extern/derde partijen’ of ‘assurance/audit’ als vaste categorie — niemand denkt tijdens de bouwfase spontaan aan de accountant, dus alleen een systematische categorielijst dwingt die vraag af.</w:t>
      </w:r>
    </w:p>
    <w:p>
      <w:pPr>
        <w:spacing w:after="180" w:line="300"/>
        <w:jc w:val="both"/>
      </w:pPr>
      <w:r>
        <w:rPr>
          <w:rFonts w:ascii="Calibri" w:cs="Calibri" w:eastAsia="Calibri" w:hAnsi="Calibri"/>
          <w:color w:val="1A1A1A"/>
          <w:sz w:val="21"/>
          <w:szCs w:val="21"/>
        </w:rPr>
        <w:t xml:space="preserve">4. Oorzaak vinden (waarom zou dit gebeuren), gebeurtenis scherp krijgen (wat gebeurt er precies), gevolg koppelen aan een doelstelling uit het context- en criteriadocument.</w:t>
      </w:r>
    </w:p>
    <w:p>
      <w:pPr>
        <w:spacing w:after="180" w:line="300"/>
        <w:jc w:val="both"/>
      </w:pPr>
      <w:r>
        <w:rPr>
          <w:rFonts w:ascii="Calibri" w:cs="Calibri" w:eastAsia="Calibri" w:hAnsi="Calibri"/>
          <w:color w:val="1A1A1A"/>
          <w:sz w:val="21"/>
          <w:szCs w:val="21"/>
        </w:rPr>
        <w:t xml:space="preserve">5. Facilitator, schrijver, domeinexperts, risico-eigenaar in spe.</w:t>
      </w:r>
    </w:p>
    <w:p>
      <w:pPr>
        <w:spacing w:after="180" w:line="300"/>
        <w:jc w:val="both"/>
      </w:pPr>
      <w:r>
        <w:rPr>
          <w:rFonts w:ascii="Calibri" w:cs="Calibri" w:eastAsia="Calibri" w:hAnsi="Calibri"/>
          <w:color w:val="1A1A1A"/>
          <w:sz w:val="21"/>
          <w:szCs w:val="21"/>
        </w:rPr>
        <w:t xml:space="preserve">6. Een facilitator moet stiltes kunnen laten vallen en doorvragen zonder zelf een inhoudelijke positie te verdedigen; dat is moeilijk te combineren met de rol van dominante inhoudelijke inbrenger.</w:t>
      </w:r>
    </w:p>
    <w:p>
      <w:pPr>
        <w:spacing w:after="180" w:line="300"/>
        <w:jc w:val="both"/>
      </w:pPr>
      <w:r>
        <w:rPr>
          <w:rFonts w:ascii="Calibri" w:cs="Calibri" w:eastAsia="Calibri" w:hAnsi="Calibri"/>
          <w:color w:val="1A1A1A"/>
          <w:sz w:val="21"/>
          <w:szCs w:val="21"/>
        </w:rPr>
        <w:t xml:space="preserve">7. Het oude register bevatte zevenentwintig categorieën-zonder-inhoud die niet als volwaardig risico meetelden; negentien goed geformuleerde risicozinnen zijn bruikbaarder dan zevenenveertig regels waarvan het merendeel niets zei.</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2026-08-16T07:13:21.434Z</dcterms:created>
  <dcterms:modified xsi:type="dcterms:W3CDTF">2026-08-16T07:13:21.436Z</dcterms:modified>
</cp:coreProperties>
</file>

<file path=docProps/custom.xml><?xml version="1.0" encoding="utf-8"?>
<Properties xmlns="http://schemas.openxmlformats.org/officeDocument/2006/custom-properties" xmlns:vt="http://schemas.openxmlformats.org/officeDocument/2006/docPropsVTypes"/>
</file>