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5 — Kwalitatieve analyse, en de matrix die je mag wantrouwen</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5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is een kritisch kantelpunt: tot nu toe hebben deelnemers geleerd risico's te herkennen en te formuleren; hier leren ze ze te wegen, en tegelijk leren ze wantrouwen tegen het instrument dat ze daarvoor gaan gebruiken. Dat is een lastige combinatie om te doceren — je leert mensen iets gebruiken én de beperkingen ervan kennen, in hetzelfde dagdeel.</w:t>
      </w:r>
    </w:p>
    <w:p>
      <w:pPr>
        <w:spacing w:after="180" w:line="300"/>
        <w:jc w:val="both"/>
      </w:pPr>
      <w:r>
        <w:rPr>
          <w:rFonts w:ascii="Calibri" w:cs="Calibri" w:eastAsia="Calibri" w:hAnsi="Calibri"/>
          <w:color w:val="1A1A1A"/>
          <w:sz w:val="21"/>
          <w:szCs w:val="21"/>
        </w:rPr>
        <w:t xml:space="preserve">Bewaak dat de matrix aan het eind van dit deel niet wordt afgeschreven. De boodschap is niet ‘de matrix deugt niet’, maar ‘de matrix is een sorteerhulpmiddel, geen waarheidsmachine — gebruik hem met dat besef’. Deelnemers die de matrix na dit deel volledig wantrouwen, hebben de les net zo gemist als deelnemers die hem klakkeloos blijven gebruiken.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kans en impact scoren volgens de schalen uit het context- en criteriadocument, met impact vóór kans;</w:t>
      </w:r>
    </w:p>
    <w:p>
      <w:pPr>
        <w:pStyle w:val="ListParagraph"/>
        <w:numPr>
          <w:ilvl w:val="0"/>
          <w:numId w:val="2"/>
        </w:numPr>
        <w:spacing w:after="100" w:line="280"/>
      </w:pPr>
      <w:r>
        <w:rPr>
          <w:rFonts w:ascii="Calibri" w:cs="Calibri" w:eastAsia="Calibri" w:hAnsi="Calibri"/>
          <w:color w:val="1A1A1A"/>
          <w:sz w:val="21"/>
          <w:szCs w:val="21"/>
        </w:rPr>
        <w:t xml:space="preserve">de drie valkuilen van de risicomatrix benoemen en herkennen in een gegeven voorbeeld;</w:t>
      </w:r>
    </w:p>
    <w:p>
      <w:pPr>
        <w:pStyle w:val="ListParagraph"/>
        <w:numPr>
          <w:ilvl w:val="0"/>
          <w:numId w:val="2"/>
        </w:numPr>
        <w:spacing w:after="100" w:line="280"/>
      </w:pPr>
      <w:r>
        <w:rPr>
          <w:rFonts w:ascii="Calibri" w:cs="Calibri" w:eastAsia="Calibri" w:hAnsi="Calibri"/>
          <w:color w:val="1A1A1A"/>
          <w:sz w:val="21"/>
          <w:szCs w:val="21"/>
        </w:rPr>
        <w:t xml:space="preserve">kernzin 3 toepassen op een risico met lage kans en hoge impact;</w:t>
      </w:r>
    </w:p>
    <w:p>
      <w:pPr>
        <w:pStyle w:val="ListParagraph"/>
        <w:numPr>
          <w:ilvl w:val="0"/>
          <w:numId w:val="2"/>
        </w:numPr>
        <w:spacing w:after="100" w:line="280"/>
      </w:pPr>
      <w:r>
        <w:rPr>
          <w:rFonts w:ascii="Calibri" w:cs="Calibri" w:eastAsia="Calibri" w:hAnsi="Calibri"/>
          <w:color w:val="1A1A1A"/>
          <w:sz w:val="21"/>
          <w:szCs w:val="21"/>
        </w:rPr>
        <w:t xml:space="preserve">inherent en residueel risico onderscheiden en in de juiste volgorde scoren;</w:t>
      </w:r>
    </w:p>
    <w:p>
      <w:pPr>
        <w:pStyle w:val="ListParagraph"/>
        <w:numPr>
          <w:ilvl w:val="0"/>
          <w:numId w:val="2"/>
        </w:numPr>
        <w:spacing w:after="100" w:line="280"/>
      </w:pPr>
      <w:r>
        <w:rPr>
          <w:rFonts w:ascii="Calibri" w:cs="Calibri" w:eastAsia="Calibri" w:hAnsi="Calibri"/>
          <w:color w:val="1A1A1A"/>
          <w:sz w:val="21"/>
          <w:szCs w:val="21"/>
        </w:rPr>
        <w:t xml:space="preserve">verankering bij groepsscoring herkennen en een tegenmaatregel toepassen.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4, huiswerkcheck</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Elke deelnemer heeft drie eigen risico's paraat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negentien risico's, de val van ‘het ziet er professioneel uit’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0:30–0:50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Scoren: schalen, impact vóór kans, nooit alleen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6–9</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0:50–1:25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drie matrixvalkuilen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10–17, met opdracht 5.2 verweven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1:25–1:40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1:40–2:00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Kernzin 3, de rode hoek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18–19, korte discussie</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2:00–2:30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Inherent versus residueel</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20–22, opdracht 5.3 individueel</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2:30–2:45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2:45–3:05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Verankering en kalibratie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23–25, opdracht 5.4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3:05–3:25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twee opvallende risico's, terugblik</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26–27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6</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28</w:t>
            </w:r>
          </w:p>
        </w:tc>
      </w:tr>
    </w:tbl>
    <w:p>
      <w:pPr>
        <w:spacing w:after="180" w:line="300"/>
        <w:jc w:val="both"/>
      </w:pPr>
      <w:r>
        <w:rPr>
          <w:rFonts w:ascii="Calibri" w:cs="Calibri" w:eastAsia="Calibri" w:hAnsi="Calibri"/>
          <w:color w:val="1A1A1A"/>
          <w:sz w:val="21"/>
          <w:szCs w:val="21"/>
        </w:rPr>
        <w:t xml:space="preserve">Huiswerk voor deel 6: geen nieuwe schriftelijke opdracht verplicht, maar vraag deelnemers hun eigen drie risico's (nu gescoord, inherent én residueel) mee te nemen — die worden in deel 6 gebruikt bij het kiezen van een respons.</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drie matrixvalkuilen te snel achter elkaar behandelen. Elke valkuil verdient een eigen voorbeeld en een moment van ‘aha’. Als je ze alle drie in tien minuten doorneemt, landt geen van de drie. Neem er de tijd voor die in de tijdsindeling staat.</w:t>
      </w:r>
    </w:p>
    <w:p>
      <w:pPr>
        <w:pStyle w:val="ListParagraph"/>
        <w:numPr>
          <w:ilvl w:val="0"/>
          <w:numId w:val="2"/>
        </w:numPr>
        <w:spacing w:after="100" w:line="280"/>
      </w:pPr>
      <w:r>
        <w:rPr>
          <w:rFonts w:ascii="Calibri" w:cs="Calibri" w:eastAsia="Calibri" w:hAnsi="Calibri"/>
          <w:color w:val="1A1A1A"/>
          <w:sz w:val="21"/>
          <w:szCs w:val="21"/>
        </w:rPr>
        <w:t xml:space="preserve">Kernzin 3 laten samenvallen met ‘reken de matrix nooit meer uit’. Dat is niet de boodschap. De boodschap is: gebruik de score, maar kijk daarnaast altijd apart naar risico's in de lage-kans/hoge-impact-hoek, ongeacht hun score. Beide dingen tegelijk, niet het een in plaats van het ander.</w:t>
      </w:r>
    </w:p>
    <w:p>
      <w:pPr>
        <w:pStyle w:val="ListParagraph"/>
        <w:numPr>
          <w:ilvl w:val="0"/>
          <w:numId w:val="2"/>
        </w:numPr>
        <w:spacing w:after="100" w:line="280"/>
      </w:pPr>
      <w:r>
        <w:rPr>
          <w:rFonts w:ascii="Calibri" w:cs="Calibri" w:eastAsia="Calibri" w:hAnsi="Calibri"/>
          <w:color w:val="1A1A1A"/>
          <w:sz w:val="21"/>
          <w:szCs w:val="21"/>
        </w:rPr>
        <w:t xml:space="preserve">Inherent/residueel als extra administratieve stap laten voelen. Benadruk het diagnostische nut: het verschil tussen beide scores is zelf informatie (zie opdracht 5.3-uitwerking). Dit is geen dubbel werk, het is een manier om te zien waar een organisatie blind vertrouwt op een maatregel.</w:t>
      </w:r>
    </w:p>
    <w:p>
      <w:pPr>
        <w:pStyle w:val="ListParagraph"/>
        <w:numPr>
          <w:ilvl w:val="0"/>
          <w:numId w:val="2"/>
        </w:numPr>
        <w:spacing w:after="100" w:line="280"/>
      </w:pPr>
      <w:r>
        <w:rPr>
          <w:rFonts w:ascii="Calibri" w:cs="Calibri" w:eastAsia="Calibri" w:hAnsi="Calibri"/>
          <w:color w:val="1A1A1A"/>
          <w:sz w:val="21"/>
          <w:szCs w:val="21"/>
        </w:rPr>
        <w:t xml:space="preserve">Verankering afdoen als een curiositeit. Het is een van de best gedocumenteerde vertekeningen in groepsbesluitvorming, en het speelde aantoonbaar een rol bij WGP 2.0. Neem het serieus als onderdeel van de vakinhoud, niet als leuk weetje.</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met een kwantitatieve of actuariële achtergrond.</w:t>
      </w:r>
      <w:r>
        <w:rPr>
          <w:rFonts w:ascii="Calibri" w:cs="Calibri" w:eastAsia="Calibri" w:hAnsi="Calibri"/>
          <w:color w:val="1A1A1A"/>
          <w:sz w:val="21"/>
          <w:szCs w:val="21"/>
        </w:rPr>
        <w:t xml:space="preserve"> Herkennen valkuil 1 (ordinale schalen vermenigvuldigen) onmiddellijk en kunnen ongeduldig worden — ‘dit weten we allang’. Gebruik hun kennis: laat hen valkuil 2 en 3 aan de groep uitleggen in eigen woorden, dat houdt hen betrokken en versterkt de les voor de rest.</w:t>
      </w:r>
    </w:p>
    <w:p>
      <w:pPr>
        <w:spacing w:after="180" w:line="300"/>
        <w:jc w:val="both"/>
      </w:pPr>
      <w:r>
        <w:rPr>
          <w:rFonts w:ascii="Calibri" w:cs="Calibri" w:eastAsia="Calibri" w:hAnsi="Calibri"/>
          <w:b/>
          <w:bCs/>
          <w:color w:val="1B2A4A"/>
          <w:sz w:val="21"/>
          <w:szCs w:val="21"/>
        </w:rPr>
        <w:t xml:space="preserve">Deelnemers die net de matrix in hun organisatie hebben geïntroduceerd of beheren.</w:t>
      </w:r>
      <w:r>
        <w:rPr>
          <w:rFonts w:ascii="Calibri" w:cs="Calibri" w:eastAsia="Calibri" w:hAnsi="Calibri"/>
          <w:color w:val="1A1A1A"/>
          <w:sz w:val="21"/>
          <w:szCs w:val="21"/>
        </w:rPr>
        <w:t xml:space="preserve"> Kunnen de kritiek op ‘hun’ instrument als persoonlijk voelen. Wees hier expliciet: de matrix wordt niet afgeschaft, hij wordt met meer vakmanschap gebruikt. Vraag hen na afloop wat zij in hun eigen matrix zouden aanpassen — dat verandert de toon van verdediging naar verbetering.</w:t>
      </w:r>
    </w:p>
    <w:p>
      <w:pPr>
        <w:spacing w:after="180" w:line="300"/>
        <w:jc w:val="both"/>
      </w:pPr>
      <w:r>
        <w:rPr>
          <w:rFonts w:ascii="Calibri" w:cs="Calibri" w:eastAsia="Calibri" w:hAnsi="Calibri"/>
          <w:b/>
          <w:bCs/>
          <w:color w:val="1B2A4A"/>
          <w:sz w:val="21"/>
          <w:szCs w:val="21"/>
        </w:rPr>
        <w:t xml:space="preserve">Groepen met een sterke hiërarchie (een directielid neemt deel).</w:t>
      </w:r>
      <w:r>
        <w:rPr>
          <w:rFonts w:ascii="Calibri" w:cs="Calibri" w:eastAsia="Calibri" w:hAnsi="Calibri"/>
          <w:color w:val="1A1A1A"/>
          <w:sz w:val="21"/>
          <w:szCs w:val="21"/>
        </w:rPr>
        <w:t xml:space="preserve"> Zijn het meest gevoelig voor verankering, precies omdat de hoogste in rang vaak als eerste of met het meeste gezag een score noemt. Gebruik dit deel om dat hardop te benoemen — het is geen kritiek op een persoon, het is een groepsdynamisch feit dat iedereen kan overkomen.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Wanneer heb je voor het laatst een matrix gezien waarin twee heel verschillende risico's (hoge kans/lage impact versus lage kans/hoge impact) dezelfde kleur kregen? Wat gebeurde er met de aandacht die ze kregen?</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risico dat ‘altijd al oranje was’ en daardoor nooit een serieus gesprek heeft gekregen — terwijl de impact, apart bekeken, eigenlijk zeer hoog is?</w:t>
      </w:r>
    </w:p>
    <w:p>
      <w:pPr>
        <w:pStyle w:val="ListParagraph"/>
        <w:numPr>
          <w:ilvl w:val="0"/>
          <w:numId w:val="2"/>
        </w:numPr>
        <w:spacing w:after="100" w:line="280"/>
      </w:pPr>
      <w:r>
        <w:rPr>
          <w:rFonts w:ascii="Calibri" w:cs="Calibri" w:eastAsia="Calibri" w:hAnsi="Calibri"/>
          <w:color w:val="1A1A1A"/>
          <w:sz w:val="21"/>
          <w:szCs w:val="21"/>
        </w:rPr>
        <w:t xml:space="preserve">Verankering treedt op als de eerste genoemde score de rest kleurt. Wie is in jouw organisatie meestal ‘de eerste stem’ bij dit soort scoring — en wat zou er gebeuren als die persoon een keer als laatste zou spreken?</w:t>
      </w:r>
    </w:p>
    <w:p>
      <w:pPr>
        <w:pStyle w:val="Heading2"/>
        <w:spacing w:after="160" w:before="360"/>
      </w:pPr>
      <w:r>
        <w:rPr>
          <w:rFonts w:ascii="Calibri" w:cs="Calibri" w:eastAsia="Calibri" w:hAnsi="Calibri"/>
          <w:b/>
          <w:bCs/>
          <w:color w:val="2C5AA0"/>
          <w:sz w:val="26"/>
          <w:szCs w:val="26"/>
        </w:rPr>
        <w:t xml:space="preserve">Antwoordmodel voor de moeilijkste bespreking (valkuil 2, de staart)</w:t>
      </w:r>
    </w:p>
    <w:p>
      <w:pPr>
        <w:spacing w:after="180" w:line="300"/>
        <w:jc w:val="both"/>
      </w:pPr>
      <w:r>
        <w:rPr>
          <w:rFonts w:ascii="Calibri" w:cs="Calibri" w:eastAsia="Calibri" w:hAnsi="Calibri"/>
          <w:color w:val="1A1A1A"/>
          <w:sz w:val="21"/>
          <w:szCs w:val="21"/>
        </w:rPr>
        <w:t xml:space="preserve">Deelnemers vinden valkuil 2 vaak het lastigst te accepteren, omdat hij ingaat tegen de intuïtieve aantrekkingskracht van een matrix: ‘als het rood is, is het erg; als het niet rood is, is het minder erg’. Laat de groep zelf het probleem ontdekken met een concrete vraag: stel dat een risico met kans 2 en impact 5 zich daadwerkelijk voordoet — hoe erg is dat dan, los van hoe zeldzaam het was? Het antwoord is: even erg als wanneer het met hogere kans was voorgekomen. De kans verandert niets aan wat er gebeurt ná het optreden van het risico, alleen aan hoe vaak je het optreden ervan kunt verwachten. Dat onderscheid — tussen ‘hoe vaak’ en ‘hoe erg als het gebeurt’ — is de kern van kernzin 3 en de reden dat dit onderwerp in niveau 2 en 3 met kwantitatieve technieken wordt uitgediept.</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Voorbeeldmatrix (leeg, met assen en kleurvakken) op flipover of digitaal, voor de live demonstratie van de drie valkuilen.</w:t>
      </w:r>
    </w:p>
    <w:p>
      <w:pPr>
        <w:pStyle w:val="ListParagraph"/>
        <w:numPr>
          <w:ilvl w:val="0"/>
          <w:numId w:val="2"/>
        </w:numPr>
        <w:spacing w:after="100" w:line="280"/>
      </w:pPr>
      <w:r>
        <w:rPr>
          <w:rFonts w:ascii="Calibri" w:cs="Calibri" w:eastAsia="Calibri" w:hAnsi="Calibri"/>
          <w:color w:val="1A1A1A"/>
          <w:sz w:val="21"/>
          <w:szCs w:val="21"/>
        </w:rPr>
        <w:t xml:space="preserve">Kaartjes of een digitaal formulier voor individueel-schriftelijk scoren bij opdracht 5.4, indien er tijd is voor een korte live-demonstratie van de techniek zelf (aanbevolen als de groep groter is dan acht deelnemers).</w:t>
      </w:r>
    </w:p>
    <w:p>
      <w:pPr>
        <w:pStyle w:val="Heading2"/>
        <w:spacing w:after="160" w:before="360"/>
      </w:pPr>
      <w:r>
        <w:rPr>
          <w:rFonts w:ascii="Calibri" w:cs="Calibri" w:eastAsia="Calibri" w:hAnsi="Calibri"/>
          <w:b/>
          <w:bCs/>
          <w:color w:val="2C5AA0"/>
          <w:sz w:val="26"/>
          <w:szCs w:val="26"/>
        </w:rPr>
        <w:t xml:space="preserve">Aansluiting op deel 6</w:t>
      </w:r>
    </w:p>
    <w:p>
      <w:pPr>
        <w:spacing w:after="180" w:line="300"/>
        <w:jc w:val="both"/>
      </w:pPr>
      <w:r>
        <w:rPr>
          <w:rFonts w:ascii="Calibri" w:cs="Calibri" w:eastAsia="Calibri" w:hAnsi="Calibri"/>
          <w:color w:val="1A1A1A"/>
          <w:sz w:val="21"/>
          <w:szCs w:val="21"/>
        </w:rPr>
        <w:t xml:space="preserve">Sluit af met: de negentien risico's zijn nu geïdentificeerd én geanalyseerd. Twee ervan sprongen eruit — niet vanwege hun score, maar vanwege hun positie in de matrix. Deel 6 gaat over wat je daadwerkelijk met een risico doet: welke respons past bij welk risico, en waarom een hoge score niet automatisch dezelfde reactie verdient als een andere hoge score.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2026-08-16T07:18:27.218Z</dcterms:created>
  <dcterms:modified xsi:type="dcterms:W3CDTF">2026-08-16T07:18:27.219Z</dcterms:modified>
</cp:coreProperties>
</file>

<file path=docProps/custom.xml><?xml version="1.0" encoding="utf-8"?>
<Properties xmlns="http://schemas.openxmlformats.org/officeDocument/2006/custom-properties" xmlns:vt="http://schemas.openxmlformats.org/officeDocument/2006/docPropsVTypes"/>
</file>