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5 — Kwalitatieve analyse, en de matrix die je mag wantrouwen</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5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5.1 — Impact vóór kans</w:t>
      </w:r>
    </w:p>
    <w:p>
      <w:pPr>
        <w:spacing w:after="180" w:line="300"/>
        <w:jc w:val="both"/>
      </w:pPr>
      <w:r>
        <w:rPr>
          <w:rFonts w:ascii="Calibri" w:cs="Calibri" w:eastAsia="Calibri" w:hAnsi="Calibri"/>
          <w:color w:val="1A1A1A"/>
          <w:sz w:val="21"/>
          <w:szCs w:val="21"/>
        </w:rPr>
        <w:t xml:space="preserve">Leg in eigen woorden uit waarom impact vóór kans scoren een betere volgorde is dan andersom. Bedenk zelf een voorbeeld (uit je eigen praktijk of fictief) waarin eerst-kans-scoren tot een vertekende impactschatting zou hebben geleid.</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De kern: als je eerst de kans vaststelt, kleurt die inschatting de impactschatting die daarna volgt — ‘het gebeurt toch bijna nooit’ glijdt onbewust af naar ‘dus zo erg zal het ook niet zijn’, ook al zijn kans en impact logisch onafhankelijke vragen.
Voorbeeldsituatie (illustratief): een risico rond brand in het serverhok wordt eerst gescoord op kans (zeer laag, 1), en de daaropvolgende impactscore valt lager uit dan wanneer die apart, eerst, was beoordeeld — terwijl de werkelijke impact van uitval van dat serverhok (bijvoorbeeld: volledige productiestop) onveranderd zeer hoog is, ongeacht hoe zeldzaam de gebeurtenis is.
Wat je hier moet meenemen: dit is geen theoretische spitsvondigheid. Het is de reden dat brandrisico's, cyberincidenten en andere zeldzame-maar-zware gebeurtenissen in de praktijk stelselmatig worden onderschat als kans vóór impact wordt gescoord.</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5.2 — Vind de valkuil</w:t>
      </w:r>
    </w:p>
    <w:p>
      <w:pPr>
        <w:spacing w:after="180" w:line="300"/>
        <w:jc w:val="both"/>
      </w:pPr>
      <w:r>
        <w:rPr>
          <w:rFonts w:ascii="Calibri" w:cs="Calibri" w:eastAsia="Calibri" w:hAnsi="Calibri"/>
          <w:color w:val="1A1A1A"/>
          <w:sz w:val="21"/>
          <w:szCs w:val="21"/>
        </w:rPr>
        <w:t xml:space="preserve">Bij elk van de volgende scenario's speelt één van de drie matrixvalkuilen uit paragraaf 5.2. Benoem welke.</w:t>
      </w:r>
    </w:p>
    <w:p>
      <w:pPr>
        <w:spacing w:after="180" w:line="300"/>
        <w:jc w:val="both"/>
      </w:pPr>
      <w:r>
        <w:rPr>
          <w:rFonts w:ascii="Calibri" w:cs="Calibri" w:eastAsia="Calibri" w:hAnsi="Calibri"/>
          <w:color w:val="1A1A1A"/>
          <w:sz w:val="21"/>
          <w:szCs w:val="21"/>
        </w:rPr>
        <w:t xml:space="preserve">a) Risico A (kans 5, impact 1) en risico B (kans 1, impact 5) krijgen allebei score 5 en staan in het register op dezelfde regel behandeld, met dezelfde prioriteit.</w:t>
      </w:r>
    </w:p>
    <w:p>
      <w:pPr>
        <w:spacing w:after="180" w:line="300"/>
        <w:jc w:val="both"/>
      </w:pPr>
      <w:r>
        <w:rPr>
          <w:rFonts w:ascii="Calibri" w:cs="Calibri" w:eastAsia="Calibri" w:hAnsi="Calibri"/>
          <w:color w:val="1A1A1A"/>
          <w:sz w:val="21"/>
          <w:szCs w:val="21"/>
        </w:rPr>
        <w:t xml:space="preserve">b) Een risico met kans 2 en impact 5 valt in de matrix in het oranje vak, terwijl een risico met kans 4 en impact 3 in het rode vak valt.</w:t>
      </w:r>
    </w:p>
    <w:p>
      <w:pPr>
        <w:spacing w:after="180" w:line="300"/>
        <w:jc w:val="both"/>
      </w:pPr>
      <w:r>
        <w:rPr>
          <w:rFonts w:ascii="Calibri" w:cs="Calibri" w:eastAsia="Calibri" w:hAnsi="Calibri"/>
          <w:color w:val="1A1A1A"/>
          <w:sz w:val="21"/>
          <w:szCs w:val="21"/>
        </w:rPr>
        <w:t xml:space="preserve">c) Het bestuur bediscussieert een kwartier lang of risico X (score 12) belangrijker is dan risico Y (score 10), en besluit op basis daarvan de volgorde van behandeling.</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Valkuil 1 — ordinale schalen vermenigvuldigen. Twee volstrekt verschillende risico's (een vaak terugkerend klein ongemak versus een zeldzame ramp) krijgen dezelfde score en dezelfde behandeling, terwijl ze fundamenteel andere reacties vragen.
b) Valkuil 2 — de heatmap verbergt de staart. Het kans-2/impact-5-risico is precies het type dat een organisatie kan laten omvallen, maar wordt in de matrix visueel als minder urgent behandeld dan een risico met een hogere kans maar lagere impact.
c) Valkuil 3 — schijnprecisie. Het verschil tussen score 12 en score 10 is, gegeven dat beide scores op ordinale schalen zijn gebaseerd, waarschijnlijk niet betekenisvol genoeg om er een kwartier bestuurstijd aan te besteden.
Discussiepunt bij c: vraag de groep wat een bestuur in plaats daarvan zou moeten doen. Het antwoord dat je wilt horen: kijk of X en Y in dezelfde brede band vallen (bijvoorbeeld allebei ‘hoog’); zo ja, is de exacte volgorde tussen hen minder relevant dan de vraag of er voor beide een eigenaar en een respons is.</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5.3 — Inherent en residueel</w:t>
      </w:r>
    </w:p>
    <w:p>
      <w:pPr>
        <w:spacing w:after="180" w:line="300"/>
        <w:jc w:val="both"/>
      </w:pPr>
      <w:r>
        <w:rPr>
          <w:rFonts w:ascii="Calibri" w:cs="Calibri" w:eastAsia="Calibri" w:hAnsi="Calibri"/>
          <w:color w:val="1A1A1A"/>
          <w:sz w:val="21"/>
          <w:szCs w:val="21"/>
        </w:rPr>
        <w:t xml:space="preserve">Kies één van je eigen drie risico's uit de oefensessie van deel 4 (opdracht 4.1-4.3 huiswerk). Scoor het eerst inherent (zonder rekening te houden met bestaande maatregelen), benoem daarna welke maatregelen er al zijn, en scoor het vervolgens residueel. Reflecteer: is het verschil tussen beide scores groot of klein, en wat zegt dat?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dit is een toepassing op eigen materiaal. Ter kalibratie, twee uitkomsten die vaak voorkomen:
Groot verschil tussen inherent en residueel: de organisatie leunt zwaar op één maatregel. Vervolgvraag die dan hoort: is die maatregel ooit getoetst op werking, of wordt aangenomen dat hij werkt omdat hij bestaat? (Vooruitwijzing naar deel 16, opzet- versus werkingseffectiviteit.)
Klein verschil tussen inherent en residueel: er zijn eigenlijk geen wezenlijke maatregelen, ook al voelt het risico ‘onder controle’. Dit is precies het patroon van regel 11 in het oude WGP 2.0-register — een hoge inherente score die nooit is teruggebracht doordat er nooit een echte maatregel is getroffen.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5.4 — Verankering voorkomen</w:t>
      </w:r>
    </w:p>
    <w:p>
      <w:pPr>
        <w:spacing w:after="180" w:line="300"/>
        <w:jc w:val="both"/>
      </w:pPr>
      <w:r>
        <w:rPr>
          <w:rFonts w:ascii="Calibri" w:cs="Calibri" w:eastAsia="Calibri" w:hAnsi="Calibri"/>
          <w:color w:val="1A1A1A"/>
          <w:sz w:val="21"/>
          <w:szCs w:val="21"/>
        </w:rPr>
        <w:t xml:space="preserve">Je leidt een scoringsronde met vijf deelnemers. Ontwerp in twee tot drie zinnen een werkwijze die verankering op de eerste genoemde score voorkomt.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Kernelement dat aanwezig moet zijn: individueel en schriftelijk scoren vóórdat er hardop wordt gesproken. Bijvoorbeeld: laat elke deelnemer op een kaartje of digitaal (anoniem, indien mogelijk) een score noteren voor kans en impact; verzamel alle scores tegelijk (bijvoorbeeld ‘op drie tellen omdraaien’); bespreek daarna alleen de risico's waar de scores meer dan één punt uiteenlopen.
Veelgemaakte zwakke oplossing: ‘laat niet de projectmanager als eerste praten’ — dit verzacht het probleem maar lost het niet op, want wie er ook als eerste een getal hardop noemt, kleurt de rest. De oplossing zit in schriftelijk-vóór-hardop, niet in het wisselen van wie eerst mag spreken.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5</w:t>
      </w:r>
    </w:p>
    <w:p>
      <w:pPr>
        <w:pStyle w:val="ListParagraph"/>
        <w:numPr>
          <w:ilvl w:val="0"/>
          <w:numId w:val="2"/>
        </w:numPr>
        <w:spacing w:after="100" w:line="280"/>
      </w:pPr>
      <w:r>
        <w:rPr>
          <w:rFonts w:ascii="Calibri" w:cs="Calibri" w:eastAsia="Calibri" w:hAnsi="Calibri"/>
          <w:color w:val="1A1A1A"/>
          <w:sz w:val="21"/>
          <w:szCs w:val="21"/>
        </w:rPr>
        <w:t xml:space="preserve">1. Waarom scoor je impact vóór kans?</w:t>
      </w:r>
    </w:p>
    <w:p>
      <w:pPr>
        <w:pStyle w:val="ListParagraph"/>
        <w:numPr>
          <w:ilvl w:val="0"/>
          <w:numId w:val="2"/>
        </w:numPr>
        <w:spacing w:after="100" w:line="280"/>
      </w:pPr>
      <w:r>
        <w:rPr>
          <w:rFonts w:ascii="Calibri" w:cs="Calibri" w:eastAsia="Calibri" w:hAnsi="Calibri"/>
          <w:color w:val="1A1A1A"/>
          <w:sz w:val="21"/>
          <w:szCs w:val="21"/>
        </w:rPr>
        <w:t xml:space="preserve">2. Noem de drie valkuilen van de risicomatrix.</w:t>
      </w:r>
    </w:p>
    <w:p>
      <w:pPr>
        <w:pStyle w:val="ListParagraph"/>
        <w:numPr>
          <w:ilvl w:val="0"/>
          <w:numId w:val="2"/>
        </w:numPr>
        <w:spacing w:after="100" w:line="280"/>
      </w:pPr>
      <w:r>
        <w:rPr>
          <w:rFonts w:ascii="Calibri" w:cs="Calibri" w:eastAsia="Calibri" w:hAnsi="Calibri"/>
          <w:color w:val="1A1A1A"/>
          <w:sz w:val="21"/>
          <w:szCs w:val="21"/>
        </w:rPr>
        <w:t xml:space="preserve">3. Wat is kernzin 3 van deze cursus?</w:t>
      </w:r>
    </w:p>
    <w:p>
      <w:pPr>
        <w:pStyle w:val="ListParagraph"/>
        <w:numPr>
          <w:ilvl w:val="0"/>
          <w:numId w:val="2"/>
        </w:numPr>
        <w:spacing w:after="100" w:line="280"/>
      </w:pPr>
      <w:r>
        <w:rPr>
          <w:rFonts w:ascii="Calibri" w:cs="Calibri" w:eastAsia="Calibri" w:hAnsi="Calibri"/>
          <w:color w:val="1A1A1A"/>
          <w:sz w:val="21"/>
          <w:szCs w:val="21"/>
        </w:rPr>
        <w:t xml:space="preserve">4. Wat is het verschil tussen inherent en residueel risico, en in welke volgorde scoor je ze?</w:t>
      </w:r>
    </w:p>
    <w:p>
      <w:pPr>
        <w:pStyle w:val="ListParagraph"/>
        <w:numPr>
          <w:ilvl w:val="0"/>
          <w:numId w:val="2"/>
        </w:numPr>
        <w:spacing w:after="100" w:line="280"/>
      </w:pPr>
      <w:r>
        <w:rPr>
          <w:rFonts w:ascii="Calibri" w:cs="Calibri" w:eastAsia="Calibri" w:hAnsi="Calibri"/>
          <w:color w:val="1A1A1A"/>
          <w:sz w:val="21"/>
          <w:szCs w:val="21"/>
        </w:rPr>
        <w:t xml:space="preserve">5. Wat is verankering, en hoe voorkom je het bij groepsscoring?</w:t>
      </w:r>
    </w:p>
    <w:p>
      <w:pPr>
        <w:pStyle w:val="ListParagraph"/>
        <w:numPr>
          <w:ilvl w:val="0"/>
          <w:numId w:val="2"/>
        </w:numPr>
        <w:spacing w:after="100" w:line="280"/>
      </w:pPr>
      <w:r>
        <w:rPr>
          <w:rFonts w:ascii="Calibri" w:cs="Calibri" w:eastAsia="Calibri" w:hAnsi="Calibri"/>
          <w:color w:val="1A1A1A"/>
          <w:sz w:val="21"/>
          <w:szCs w:val="21"/>
        </w:rPr>
        <w:t xml:space="preserve">6. Waarom kregen twee risico's uit Sanne's analyse extra aandacht, ondanks dat hun rekenkundige score niet de hoogste was?</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Omdat een eerder vastgestelde kansscore de impactschatting onbewust kleurt (‘het gebeurt toch bijna nooit, dus zo erg zal het niet zijn’), terwijl kans en impact logisch onafhankelijke vragen zijn.</w:t>
      </w:r>
    </w:p>
    <w:p>
      <w:pPr>
        <w:spacing w:after="180" w:line="300"/>
        <w:jc w:val="both"/>
      </w:pPr>
      <w:r>
        <w:rPr>
          <w:rFonts w:ascii="Calibri" w:cs="Calibri" w:eastAsia="Calibri" w:hAnsi="Calibri"/>
          <w:color w:val="1A1A1A"/>
          <w:sz w:val="21"/>
          <w:szCs w:val="21"/>
        </w:rPr>
        <w:t xml:space="preserve">2. Ordinale schalen vermenigvuldigen (schijngelijke scores voor fundamenteel verschillende risico's); de heatmap die de staart van zeldzame zware gebeurtenissen verbergt; schijnprecisie bij het vergelijken van naast elkaar liggende scores.</w:t>
      </w:r>
    </w:p>
    <w:p>
      <w:pPr>
        <w:spacing w:after="180" w:line="300"/>
        <w:jc w:val="both"/>
      </w:pPr>
      <w:r>
        <w:rPr>
          <w:rFonts w:ascii="Calibri" w:cs="Calibri" w:eastAsia="Calibri" w:hAnsi="Calibri"/>
          <w:color w:val="1A1A1A"/>
          <w:sz w:val="21"/>
          <w:szCs w:val="21"/>
        </w:rPr>
        <w:t xml:space="preserve">3. Een lage kans is geen reden om een hoge impact te negeren — het is een reden om extra goed naar de impact te kijken.</w:t>
      </w:r>
    </w:p>
    <w:p>
      <w:pPr>
        <w:spacing w:after="180" w:line="300"/>
        <w:jc w:val="both"/>
      </w:pPr>
      <w:r>
        <w:rPr>
          <w:rFonts w:ascii="Calibri" w:cs="Calibri" w:eastAsia="Calibri" w:hAnsi="Calibri"/>
          <w:color w:val="1A1A1A"/>
          <w:sz w:val="21"/>
          <w:szCs w:val="21"/>
        </w:rPr>
        <w:t xml:space="preserve">4. Inherent (bruto) risico is de score zonder rekening te houden met bestaande maatregelen; residueel (netto) risico is de score erna. Scoor altijd eerst inherent, dan residueel.</w:t>
      </w:r>
    </w:p>
    <w:p>
      <w:pPr>
        <w:spacing w:after="180" w:line="300"/>
        <w:jc w:val="both"/>
      </w:pPr>
      <w:r>
        <w:rPr>
          <w:rFonts w:ascii="Calibri" w:cs="Calibri" w:eastAsia="Calibri" w:hAnsi="Calibri"/>
          <w:color w:val="1A1A1A"/>
          <w:sz w:val="21"/>
          <w:szCs w:val="21"/>
        </w:rPr>
        <w:t xml:space="preserve">5. Verankering is het verschijnsel dat de eerste hardop genoemde score de rest van de groep kleurt. Voorkomen door eerst individueel en schriftelijk te scoren, en pas daarna te bespreken — met name de risico's waar de scores uiteenlopen.</w:t>
      </w:r>
    </w:p>
    <w:p>
      <w:pPr>
        <w:spacing w:after="180" w:line="300"/>
        <w:jc w:val="both"/>
      </w:pPr>
      <w:r>
        <w:rPr>
          <w:rFonts w:ascii="Calibri" w:cs="Calibri" w:eastAsia="Calibri" w:hAnsi="Calibri"/>
          <w:color w:val="1A1A1A"/>
          <w:sz w:val="21"/>
          <w:szCs w:val="21"/>
        </w:rPr>
        <w:t xml:space="preserve">6. Omdat hun positie in de matrix (kans 3/impact 4 en kans 2/impact 5) wees op risico's die bij een zuiver rekenkundige score zouden zijn ondergesneeuwd, terwijl hun potëntiële gevolgen — blokkade van de analysefase, respectievelijk een zwaar wetgevingsrisico — grote aandacht verdienden.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2026-08-16T07:18:27.021Z</dcterms:created>
  <dcterms:modified xsi:type="dcterms:W3CDTF">2026-08-16T07:18:27.022Z</dcterms:modified>
</cp:coreProperties>
</file>

<file path=docProps/custom.xml><?xml version="1.0" encoding="utf-8"?>
<Properties xmlns="http://schemas.openxmlformats.org/officeDocument/2006/custom-properties" xmlns:vt="http://schemas.openxmlformats.org/officeDocument/2006/docPropsVTypes"/>
</file>