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6 — Evaluatie en respons: wat doe je ermee?</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6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is waar de cursus voor het eerst echt ‘besluitvorming’ wordt in plaats van ‘analyse’. Tot nu toe hebben deelnemers geïdentificeerd (deel 4) en gescoord (deel 5); hier moeten ze kiezen, en een keuze verdedigen. Dat vraagt een andere werkvorm dan de vorige delen: meer discussie, minder eenduidige ‘juiste’ antwoorden.</w:t>
      </w:r>
    </w:p>
    <w:p>
      <w:pPr>
        <w:spacing w:after="180" w:line="300"/>
        <w:jc w:val="both"/>
      </w:pPr>
      <w:r>
        <w:rPr>
          <w:rFonts w:ascii="Calibri" w:cs="Calibri" w:eastAsia="Calibri" w:hAnsi="Calibri"/>
          <w:color w:val="1A1A1A"/>
          <w:sz w:val="21"/>
          <w:szCs w:val="21"/>
        </w:rPr>
        <w:t xml:space="preserve">Bewaak vooral het onderscheid tussen ‘accepteren’ en ‘negeren’ (Kernzin 4). Dit is de meest onderschatte inzichten van het hele deel, en tegelijk het makkelijkst te vergeten zodra de aandacht naar de vijf strategieën als lijstje verschuift.</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de vijf responsstrategieën voor bedreigingen en de vier voor kansen benoemen en op een gegeven maatregel toepassen;</w:t>
      </w:r>
    </w:p>
    <w:p>
      <w:pPr>
        <w:pStyle w:val="ListParagraph"/>
        <w:numPr>
          <w:ilvl w:val="0"/>
          <w:numId w:val="2"/>
        </w:numPr>
        <w:spacing w:after="100" w:line="280"/>
      </w:pPr>
      <w:r>
        <w:rPr>
          <w:rFonts w:ascii="Calibri" w:cs="Calibri" w:eastAsia="Calibri" w:hAnsi="Calibri"/>
          <w:color w:val="1A1A1A"/>
          <w:sz w:val="21"/>
          <w:szCs w:val="21"/>
        </w:rPr>
        <w:t xml:space="preserve">het verschil tussen kans-gerichte en impact-gerichte verminderende maatregelen herkennen;</w:t>
      </w:r>
    </w:p>
    <w:p>
      <w:pPr>
        <w:pStyle w:val="ListParagraph"/>
        <w:numPr>
          <w:ilvl w:val="0"/>
          <w:numId w:val="2"/>
        </w:numPr>
        <w:spacing w:after="100" w:line="280"/>
      </w:pPr>
      <w:r>
        <w:rPr>
          <w:rFonts w:ascii="Calibri" w:cs="Calibri" w:eastAsia="Calibri" w:hAnsi="Calibri"/>
          <w:color w:val="1A1A1A"/>
          <w:sz w:val="21"/>
          <w:szCs w:val="21"/>
        </w:rPr>
        <w:t xml:space="preserve">Kernzin 4 toepassen en het verschil tussen bewust accepteren en negeren beargumenteren aan de hand van een concreet voorbeeld;</w:t>
      </w:r>
    </w:p>
    <w:p>
      <w:pPr>
        <w:pStyle w:val="ListParagraph"/>
        <w:numPr>
          <w:ilvl w:val="0"/>
          <w:numId w:val="2"/>
        </w:numPr>
        <w:spacing w:after="100" w:line="280"/>
      </w:pPr>
      <w:r>
        <w:rPr>
          <w:rFonts w:ascii="Calibri" w:cs="Calibri" w:eastAsia="Calibri" w:hAnsi="Calibri"/>
          <w:color w:val="1A1A1A"/>
          <w:sz w:val="21"/>
          <w:szCs w:val="21"/>
        </w:rPr>
        <w:t xml:space="preserve">secundair risico identificeren dat door een gekozen respons zelf wordt veroorzaakt;</w:t>
      </w:r>
    </w:p>
    <w:p>
      <w:pPr>
        <w:pStyle w:val="ListParagraph"/>
        <w:numPr>
          <w:ilvl w:val="0"/>
          <w:numId w:val="2"/>
        </w:numPr>
        <w:spacing w:after="100" w:line="280"/>
      </w:pPr>
      <w:r>
        <w:rPr>
          <w:rFonts w:ascii="Calibri" w:cs="Calibri" w:eastAsia="Calibri" w:hAnsi="Calibri"/>
          <w:color w:val="1A1A1A"/>
          <w:sz w:val="21"/>
          <w:szCs w:val="21"/>
        </w:rPr>
        <w:t xml:space="preserve">een respons kiezen en verdedigen aan de hand van de twee sturende vragen (kosten versus omvang, residueel risico versus risicobereidheid).</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5, de twee opvallende risico's</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Korte recap</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0:15–0:40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Vijf strategieën voor bedreigingen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3–10</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0:40–0:55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Kernzin 4: accepteren versus negeren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11–13, korte discussie</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0:55–1:10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Opdracht 6.1</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Plenair of in tweetallen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1:10–1:25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1:25–1:45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Vier strategieën voor kansen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14–18</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1:45–2:05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Secundair risico</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19–21, opdracht 6.3 in tweetallen</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2:05–2:20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2:20–2:50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Sanne's twee risico's uitgewerkt, de twee sturende vragen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22–25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2:50–3:20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Opdracht 6.5 — eigen risico's van respons voorzien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korte toetsing in tweetallen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3:20–3:30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7</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 26</w:t>
            </w:r>
          </w:p>
        </w:tc>
      </w:tr>
    </w:tbl>
    <w:p>
      <w:pPr>
        <w:spacing w:after="180" w:line="300"/>
        <w:jc w:val="both"/>
      </w:pPr>
      <w:r>
        <w:rPr>
          <w:rFonts w:ascii="Calibri" w:cs="Calibri" w:eastAsia="Calibri" w:hAnsi="Calibri"/>
          <w:color w:val="1A1A1A"/>
          <w:sz w:val="21"/>
          <w:szCs w:val="21"/>
        </w:rPr>
        <w:t xml:space="preserve">Huiswerk voor deel 7: opdracht 6.2 en 6.4, plus: neem de eigen drie risico's (nu compleet met respons, secundair risico en toets) mee — die vormen in deel 7 de basis voor het bouwen van een eigen registerstructuur.</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vijf strategieën als een simpel lijstje laten landen, zonder de onderlinge afweging. Het gevaar is dat deelnemers denken dat elke strategie voor elk risico even geldig is. Benadruk dat de keuze altijd wordt gestuurd door de twee vragen uit paragraaf 6.4 — kosten versus omvang, residueel risico versus risicobereidheid — niet door persoonlijke voorkeur.</w:t>
      </w:r>
    </w:p>
    <w:p>
      <w:pPr>
        <w:pStyle w:val="ListParagraph"/>
        <w:numPr>
          <w:ilvl w:val="0"/>
          <w:numId w:val="2"/>
        </w:numPr>
        <w:spacing w:after="100" w:line="280"/>
      </w:pPr>
      <w:r>
        <w:rPr>
          <w:rFonts w:ascii="Calibri" w:cs="Calibri" w:eastAsia="Calibri" w:hAnsi="Calibri"/>
          <w:color w:val="1A1A1A"/>
          <w:sz w:val="21"/>
          <w:szCs w:val="21"/>
        </w:rPr>
        <w:t xml:space="preserve">Accepteren laten voelen als ‘niets doen’, zonder de voorwaarde van Kernzin 4 te benadrukken. Dit is de kern van het deel. Als een deelnemer zegt ‘we accepteren dit risico’ zonder een datum, een onderbouwing en een vaststellend besluit te noemen, is dat nog geen acceptatie in de zin van deze cursus — het is nog steeds negeren met een ander label.</w:t>
      </w:r>
    </w:p>
    <w:p>
      <w:pPr>
        <w:pStyle w:val="ListParagraph"/>
        <w:numPr>
          <w:ilvl w:val="0"/>
          <w:numId w:val="2"/>
        </w:numPr>
        <w:spacing w:after="100" w:line="280"/>
      </w:pPr>
      <w:r>
        <w:rPr>
          <w:rFonts w:ascii="Calibri" w:cs="Calibri" w:eastAsia="Calibri" w:hAnsi="Calibri"/>
          <w:color w:val="1A1A1A"/>
          <w:sz w:val="21"/>
          <w:szCs w:val="21"/>
        </w:rPr>
        <w:t xml:space="preserve">Secundair risico als uitzondering behandelen. Het is eerder regel dan uitzondering. Elke respons — met name overdragen, delen en verminderen via een nieuwe partij of nieuw proces — verdient de vraag ‘wat maak ik hiermee nieuw aan risico?’ Behandel dit niet als randopmerking maar als vast onderdeel van elke responskeuze.</w:t>
      </w:r>
    </w:p>
    <w:p>
      <w:pPr>
        <w:pStyle w:val="ListParagraph"/>
        <w:numPr>
          <w:ilvl w:val="0"/>
          <w:numId w:val="2"/>
        </w:numPr>
        <w:spacing w:after="100" w:line="280"/>
      </w:pPr>
      <w:r>
        <w:rPr>
          <w:rFonts w:ascii="Calibri" w:cs="Calibri" w:eastAsia="Calibri" w:hAnsi="Calibri"/>
          <w:color w:val="1A1A1A"/>
          <w:sz w:val="21"/>
          <w:szCs w:val="21"/>
        </w:rPr>
        <w:t xml:space="preserve">Kansen te snel afhandelen. Er is de neiging om de vier kans-strategieën in vijf minuten te doen omdat ‘bedreigingen belangrijker zijn’. Weersta dat — de reader benoemt expliciet dat dit een blinde vlek van de sector is, en dit deel is de plek om daar tegenwicht aan te bieden.</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b/>
          <w:bCs/>
          <w:color w:val="1B2A4A"/>
          <w:sz w:val="21"/>
          <w:szCs w:val="21"/>
        </w:rPr>
        <w:t xml:space="preserve">Financiële en compliance-achtergrond.</w:t>
      </w:r>
      <w:r>
        <w:rPr>
          <w:rFonts w:ascii="Calibri" w:cs="Calibri" w:eastAsia="Calibri" w:hAnsi="Calibri"/>
          <w:color w:val="1A1A1A"/>
          <w:sz w:val="21"/>
          <w:szCs w:val="21"/>
        </w:rPr>
        <w:t xml:space="preserve"> Zijn vaak sterk in ‘overdragen’ (verzekeren, contracteren) maar minder gewend aan ‘vermijden’ als radicale optie — in een gereguleerde sector wordt vermijden soms als onmogelijk beschouwd. Vraag door: is vermijden echt nooit mogelijk, of wordt het te snel afgeschreven omdat het ingrijpender is dan de andere vier?</w:t>
      </w:r>
    </w:p>
    <w:p>
      <w:pPr>
        <w:spacing w:after="180" w:line="300"/>
        <w:jc w:val="both"/>
      </w:pPr>
      <w:r>
        <w:rPr>
          <w:rFonts w:ascii="Calibri" w:cs="Calibri" w:eastAsia="Calibri" w:hAnsi="Calibri"/>
          <w:b/>
          <w:bCs/>
          <w:color w:val="1B2A4A"/>
          <w:sz w:val="21"/>
          <w:szCs w:val="21"/>
        </w:rPr>
        <w:t xml:space="preserve">Projectmanagers.</w:t>
      </w:r>
      <w:r>
        <w:rPr>
          <w:rFonts w:ascii="Calibri" w:cs="Calibri" w:eastAsia="Calibri" w:hAnsi="Calibri"/>
          <w:color w:val="1A1A1A"/>
          <w:sz w:val="21"/>
          <w:szCs w:val="21"/>
        </w:rPr>
        <w:t xml:space="preserve"> Neigen naar ‘verminderen’ als standaardantwoord voor bijna elk risico, omdat het het minst confronterend voelt (geen scope schrappen, geen risico's overdragen aan een partij die daar niet blij mee is). Daag hen uit bij opdracht 6.5 om voor minstens één risico een andere strategie te overwegen dan verminderen.</w:t>
      </w:r>
    </w:p>
    <w:p>
      <w:pPr>
        <w:spacing w:after="180" w:line="300"/>
        <w:jc w:val="both"/>
      </w:pPr>
      <w:r>
        <w:rPr>
          <w:rFonts w:ascii="Calibri" w:cs="Calibri" w:eastAsia="Calibri" w:hAnsi="Calibri"/>
          <w:b/>
          <w:bCs/>
          <w:color w:val="1B2A4A"/>
          <w:sz w:val="21"/>
          <w:szCs w:val="21"/>
        </w:rPr>
        <w:t xml:space="preserve">Deelnemers met leidinggevende verantwoordelijkheid.</w:t>
      </w:r>
      <w:r>
        <w:rPr>
          <w:rFonts w:ascii="Calibri" w:cs="Calibri" w:eastAsia="Calibri" w:hAnsi="Calibri"/>
          <w:color w:val="1A1A1A"/>
          <w:sz w:val="21"/>
          <w:szCs w:val="21"/>
        </w:rPr>
        <w:t xml:space="preserve"> Zijn het meest gevoelig voor het onderscheid accepteren-versus-negeren, omdat zij vaak degenen zijn die impliciet ‘negeren’ goedkeuren door tijdgebrek. Dit is een goed moment om, zonder te moraliseren, te laten zien dat een simpele aantekening met datum en onderbouwing (opdracht 6.1d) al het verschil maakt.</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Noem een risico in jouw organisatie dat feitelijk al jaren wordt ‘geaccepteerd’ zonder dat er ooit een formeel besluit is genomen. Wat zou er veranderen als dat besluit alsnog expliciet werd vastgelegd?</w:t>
      </w:r>
    </w:p>
    <w:p>
      <w:pPr>
        <w:pStyle w:val="ListParagraph"/>
        <w:numPr>
          <w:ilvl w:val="0"/>
          <w:numId w:val="2"/>
        </w:numPr>
        <w:spacing w:after="100" w:line="280"/>
      </w:pPr>
      <w:r>
        <w:rPr>
          <w:rFonts w:ascii="Calibri" w:cs="Calibri" w:eastAsia="Calibri" w:hAnsi="Calibri"/>
          <w:color w:val="1A1A1A"/>
          <w:sz w:val="21"/>
          <w:szCs w:val="21"/>
        </w:rPr>
        <w:t xml:space="preserve">Bij welke respons in jouw organisatie is het secundaire risico nooit apart benoemd — en wat zou dat secundaire risico kunnen zijn?</w:t>
      </w:r>
    </w:p>
    <w:p>
      <w:pPr>
        <w:pStyle w:val="ListParagraph"/>
        <w:numPr>
          <w:ilvl w:val="0"/>
          <w:numId w:val="2"/>
        </w:numPr>
        <w:spacing w:after="100" w:line="280"/>
      </w:pPr>
      <w:r>
        <w:rPr>
          <w:rFonts w:ascii="Calibri" w:cs="Calibri" w:eastAsia="Calibri" w:hAnsi="Calibri"/>
          <w:color w:val="1A1A1A"/>
          <w:sz w:val="21"/>
          <w:szCs w:val="21"/>
        </w:rPr>
        <w:t xml:space="preserve">Waarom denk je dat ‘verminderen’ in de praktijk zo veel vaker wordt gekozen dan de andere vier strategieën, ook waar een andere strategie eigenlijk logischer zou zijn?</w:t>
      </w:r>
    </w:p>
    <w:p>
      <w:pPr>
        <w:pStyle w:val="Heading2"/>
        <w:spacing w:after="160" w:before="360"/>
      </w:pPr>
      <w:r>
        <w:rPr>
          <w:rFonts w:ascii="Calibri" w:cs="Calibri" w:eastAsia="Calibri" w:hAnsi="Calibri"/>
          <w:b/>
          <w:bCs/>
          <w:color w:val="2C5AA0"/>
          <w:sz w:val="26"/>
          <w:szCs w:val="26"/>
        </w:rPr>
        <w:t xml:space="preserve">Antwoordmodel voor de moeilijkste bespreking (Kernzin 4)</w:t>
      </w:r>
    </w:p>
    <w:p>
      <w:pPr>
        <w:spacing w:after="180" w:line="300"/>
        <w:jc w:val="both"/>
      </w:pPr>
      <w:r>
        <w:rPr>
          <w:rFonts w:ascii="Calibri" w:cs="Calibri" w:eastAsia="Calibri" w:hAnsi="Calibri"/>
          <w:color w:val="1A1A1A"/>
          <w:sz w:val="21"/>
          <w:szCs w:val="21"/>
        </w:rPr>
        <w:t xml:space="preserve">Laat de groep zelf het onderscheid vinden aan de hand van een simpele vraag: stel dat het risico zich morgen voordoet — kan iemand aantonen dat de organisatie hier bewust voor heeft gekozen? Bij regel 11 van het oude WGP 2.0-register is het antwoord nee: er is geen document, geen datum, geen naam die verantwoordelijkheid nam voor de keuze om niets te doen. Bij opdracht 6.1d is het antwoord wel ja. Het verschil zit niet in de uitkomst (in beide gevallen gebeurt er niets aan het risico) maar in de traceerbaarheid van het besluit — en dat is precies waarom dit onderwerp in deel 7 (het register als levend instrument) en deel 8 (monitoring en escalatie) blijft terugkomen.</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Overzichtskaart met de vijf plus vier strategieën, uit te delen of te tonen als blijvend naslagwerk tijdens de rest van het dagdeel.</w:t>
      </w:r>
    </w:p>
    <w:p>
      <w:pPr>
        <w:pStyle w:val="ListParagraph"/>
        <w:numPr>
          <w:ilvl w:val="0"/>
          <w:numId w:val="2"/>
        </w:numPr>
        <w:spacing w:after="100" w:line="280"/>
      </w:pPr>
      <w:r>
        <w:rPr>
          <w:rFonts w:ascii="Calibri" w:cs="Calibri" w:eastAsia="Calibri" w:hAnsi="Calibri"/>
          <w:color w:val="1A1A1A"/>
          <w:sz w:val="21"/>
          <w:szCs w:val="21"/>
        </w:rPr>
        <w:t xml:space="preserve">Voorbeeld van een correct gedocumenteerd acceptatiebesluit (zoals opdracht 6.1d) versus een voorbeeld zonder onderbouwing, naast elkaar, voor de discussie over Kernzin 4.</w:t>
      </w:r>
    </w:p>
    <w:p>
      <w:pPr>
        <w:pStyle w:val="Heading2"/>
        <w:spacing w:after="160" w:before="360"/>
      </w:pPr>
      <w:r>
        <w:rPr>
          <w:rFonts w:ascii="Calibri" w:cs="Calibri" w:eastAsia="Calibri" w:hAnsi="Calibri"/>
          <w:b/>
          <w:bCs/>
          <w:color w:val="2C5AA0"/>
          <w:sz w:val="26"/>
          <w:szCs w:val="26"/>
        </w:rPr>
        <w:t xml:space="preserve">Aansluiting op deel 7</w:t>
      </w:r>
    </w:p>
    <w:p>
      <w:pPr>
        <w:spacing w:after="180" w:line="300"/>
        <w:jc w:val="both"/>
      </w:pPr>
      <w:r>
        <w:rPr>
          <w:rFonts w:ascii="Calibri" w:cs="Calibri" w:eastAsia="Calibri" w:hAnsi="Calibri"/>
          <w:color w:val="1A1A1A"/>
          <w:sz w:val="21"/>
          <w:szCs w:val="21"/>
        </w:rPr>
        <w:t xml:space="preserve">Sluit af met: elk van de negentien risico's heeft nu een respons, een eigenaar-in-spe en, waar relevant, een secundair risico. Dat is nog geen register — het zijn losse beslissingen. Deel 7 bouwt daar de structuur omheen die ervoor zorgt dat dit geheel, in tegenstelling tot het oude WGP 2.0-register, ook over een jaar nog een levend instrument is.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2026-08-16T09:55:55.265Z</dcterms:created>
  <dcterms:modified xsi:type="dcterms:W3CDTF">2026-08-16T09:55:55.266Z</dcterms:modified>
</cp:coreProperties>
</file>

<file path=docProps/custom.xml><?xml version="1.0" encoding="utf-8"?>
<Properties xmlns="http://schemas.openxmlformats.org/officeDocument/2006/custom-properties" xmlns:vt="http://schemas.openxmlformats.org/officeDocument/2006/docPropsVTypes"/>
</file>