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6 — Evaluatie en respons: wat doe je ermee?</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6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6.1 — Vijf strategieën herkennen</w:t>
      </w:r>
    </w:p>
    <w:p>
      <w:pPr>
        <w:spacing w:after="180" w:line="300"/>
        <w:jc w:val="both"/>
      </w:pPr>
      <w:r>
        <w:rPr>
          <w:rFonts w:ascii="Calibri" w:cs="Calibri" w:eastAsia="Calibri" w:hAnsi="Calibri"/>
          <w:color w:val="1A1A1A"/>
          <w:sz w:val="21"/>
          <w:szCs w:val="21"/>
        </w:rPr>
        <w:t xml:space="preserve">Onderstaande vijf maatregelen horen elk bij één van de vijf responsstrategieën voor bedreigingen. Benoem welke.</w:t>
      </w:r>
    </w:p>
    <w:p>
      <w:pPr>
        <w:spacing w:after="180" w:line="300"/>
        <w:jc w:val="both"/>
      </w:pPr>
      <w:r>
        <w:rPr>
          <w:rFonts w:ascii="Calibri" w:cs="Calibri" w:eastAsia="Calibri" w:hAnsi="Calibri"/>
          <w:color w:val="1A1A1A"/>
          <w:sz w:val="21"/>
          <w:szCs w:val="21"/>
        </w:rPr>
        <w:t xml:space="preserve">a) Meridiaan besluit de conversie niet zelf te bouwen maar een bewezen, kant-en-klaar platform aan te schaffen waarbij conversiefouten contractueel voor rekening van de leverancier komen.</w:t>
      </w:r>
    </w:p>
    <w:p>
      <w:pPr>
        <w:spacing w:after="180" w:line="300"/>
        <w:jc w:val="both"/>
      </w:pPr>
      <w:r>
        <w:rPr>
          <w:rFonts w:ascii="Calibri" w:cs="Calibri" w:eastAsia="Calibri" w:hAnsi="Calibri"/>
          <w:color w:val="1A1A1A"/>
          <w:sz w:val="21"/>
          <w:szCs w:val="21"/>
        </w:rPr>
        <w:t xml:space="preserve">b) Het projectteam besluit twee weken extra marge in de planning op te nemen rond de kerstperiode.</w:t>
      </w:r>
    </w:p>
    <w:p>
      <w:pPr>
        <w:spacing w:after="180" w:line="300"/>
        <w:jc w:val="both"/>
      </w:pPr>
      <w:r>
        <w:rPr>
          <w:rFonts w:ascii="Calibri" w:cs="Calibri" w:eastAsia="Calibri" w:hAnsi="Calibri"/>
          <w:color w:val="1A1A1A"/>
          <w:sz w:val="21"/>
          <w:szCs w:val="21"/>
        </w:rPr>
        <w:t xml:space="preserve">c) Meridiaan en de externe pensioenadministrateur richten een gezamenlijke stuurgroep op voor de koppeling tussen beide systemen, met gedeelde verantwoordelijkheid voor de kwaliteit van de gegevensuitwisseling.</w:t>
      </w:r>
    </w:p>
    <w:p>
      <w:pPr>
        <w:spacing w:after="180" w:line="300"/>
        <w:jc w:val="both"/>
      </w:pPr>
      <w:r>
        <w:rPr>
          <w:rFonts w:ascii="Calibri" w:cs="Calibri" w:eastAsia="Calibri" w:hAnsi="Calibri"/>
          <w:color w:val="1A1A1A"/>
          <w:sz w:val="21"/>
          <w:szCs w:val="21"/>
        </w:rPr>
        <w:t xml:space="preserve">d) Het bestuur besluit een klein risico rond een verouderde interne rapportagetool niet verder te behandelen, met de aantekening “kosten van vervanging wegen niet op tegen de beperkte impact — besluit vastgelegd op 14 maart”.</w:t>
      </w:r>
    </w:p>
    <w:p>
      <w:pPr>
        <w:spacing w:after="180" w:line="300"/>
        <w:jc w:val="both"/>
      </w:pPr>
      <w:r>
        <w:rPr>
          <w:rFonts w:ascii="Calibri" w:cs="Calibri" w:eastAsia="Calibri" w:hAnsi="Calibri"/>
          <w:color w:val="1A1A1A"/>
          <w:sz w:val="21"/>
          <w:szCs w:val="21"/>
        </w:rPr>
        <w:t xml:space="preserve">e) Meridiaan besluit een geplande functionaliteit die een hoog juridisch risico met zich meebrengt, volledig uit de scope van dit project te halen.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Overdragen. De contractuele boeteclausule verplaatst het financiële gevolg naar de leverancier.
b) Verminderen (impact-gericht — de buffer verkleint het gevolg van een eventuele vertraging, niet de kans erop).
c) Delen. Gezamenlijke sturing en gedeelde verantwoordelijkheid, niet eenzijdige uitbesteding.
d) Accepteren — en let op: dit is een goed voorbeeld van bewust accepteren, met datum en onderbouwing, in tegenstelling tot regel 11 van het oude register.
e) Vermijden. De activiteit die het risico veroorzaakt (deze functionaliteit) wordt niet uitgevoerd.
Discussiepunt bij d: vraag de groep wat er in deze aantekening staat dat bij het oude WGP 2.0-register ontbrak. Antwoord: een datum, een onderbouwing, en een vaststellend besluit — precies de elementen die Kernzin 4 vereist om van ‘geaccepteerd’ te kunnen spreken in plaats van ‘genegeerd’.</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6.2 — Kans-gericht of impact-gericht verminderen?</w:t>
      </w:r>
    </w:p>
    <w:p>
      <w:pPr>
        <w:spacing w:after="180" w:line="300"/>
        <w:jc w:val="both"/>
      </w:pPr>
      <w:r>
        <w:rPr>
          <w:rFonts w:ascii="Calibri" w:cs="Calibri" w:eastAsia="Calibri" w:hAnsi="Calibri"/>
          <w:color w:val="1A1A1A"/>
          <w:sz w:val="21"/>
          <w:szCs w:val="21"/>
        </w:rPr>
        <w:t xml:space="preserve">Voor elk van de volgende maatregelen: is dit vooral kans-gericht of vooral impact-gericht verminderen? Onderbouw kort.</w:t>
      </w:r>
    </w:p>
    <w:p>
      <w:pPr>
        <w:spacing w:after="180" w:line="300"/>
        <w:jc w:val="both"/>
      </w:pPr>
      <w:r>
        <w:rPr>
          <w:rFonts w:ascii="Calibri" w:cs="Calibri" w:eastAsia="Calibri" w:hAnsi="Calibri"/>
          <w:color w:val="1A1A1A"/>
          <w:sz w:val="21"/>
          <w:szCs w:val="21"/>
        </w:rPr>
        <w:t xml:space="preserve">a) Een tweede applicatiebeheerder wordt gedeeltelijk ingewerkt op de premieberekening.</w:t>
      </w:r>
    </w:p>
    <w:p>
      <w:pPr>
        <w:spacing w:after="180" w:line="300"/>
        <w:jc w:val="both"/>
      </w:pPr>
      <w:r>
        <w:rPr>
          <w:rFonts w:ascii="Calibri" w:cs="Calibri" w:eastAsia="Calibri" w:hAnsi="Calibri"/>
          <w:color w:val="1A1A1A"/>
          <w:sz w:val="21"/>
          <w:szCs w:val="21"/>
        </w:rPr>
        <w:t xml:space="preserve">b) Er wordt een noodprocedure gedocumenteerd voor het geval de conversie faalt tijdens het weekend van livegang.</w:t>
      </w:r>
    </w:p>
    <w:p>
      <w:pPr>
        <w:spacing w:after="180" w:line="300"/>
        <w:jc w:val="both"/>
      </w:pPr>
      <w:r>
        <w:rPr>
          <w:rFonts w:ascii="Calibri" w:cs="Calibri" w:eastAsia="Calibri" w:hAnsi="Calibri"/>
          <w:color w:val="1A1A1A"/>
          <w:sz w:val="21"/>
          <w:szCs w:val="21"/>
        </w:rPr>
        <w:t xml:space="preserve">c) De testomgeving wordt uitgebreid met extra capaciteit, zodat conflicten met andere projecten minder vaak optreden.</w:t>
      </w:r>
    </w:p>
    <w:p>
      <w:pPr>
        <w:spacing w:after="180" w:line="300"/>
        <w:jc w:val="both"/>
      </w:pPr>
      <w:r>
        <w:rPr>
          <w:rFonts w:ascii="Calibri" w:cs="Calibri" w:eastAsia="Calibri" w:hAnsi="Calibri"/>
          <w:color w:val="1A1A1A"/>
          <w:sz w:val="21"/>
          <w:szCs w:val="21"/>
        </w:rPr>
        <w:t xml:space="preserve">d) Er wordt een rollback-procedure ingericht waarmee een mislukte conversie binnen twee uur kan worden teruggedraaid.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Kans-gericht. Het vermindert de kans dat volledige stilstand optreedt bij uitval van de enige kenner.
b) Impact-gericht. Het risico dat de conversie faalt wordt er niet kleiner door, maar het gevolg ervan wel beter beheersbaar.
c) Kans-gericht. Minder capaciteitsconflicten betekent een lagere kans op planningsvertraging door die specifieke oorzaak.
d) Impact-gericht. Als de conversie toch mislukt, is het gevolg (lange uitval) sterk beperkt.
Wat je hier moet meenemen: veel maatregelen die in de praktijk onder de koepelterm ‘verminderen’ worden geschaard, grijpen in werkelijkheid maar op één van de twee aan. Het is nuttig dat expliciet te benoemen — een risico met hoge impact heeft baat bij impact-gerichte maatregelen, ook als de kans al laag is (zie Kernzin 3, deel 5).</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6.3 — Secundair risico vinden</w:t>
      </w:r>
    </w:p>
    <w:p>
      <w:pPr>
        <w:spacing w:after="180" w:line="300"/>
        <w:jc w:val="both"/>
      </w:pPr>
      <w:r>
        <w:rPr>
          <w:rFonts w:ascii="Calibri" w:cs="Calibri" w:eastAsia="Calibri" w:hAnsi="Calibri"/>
          <w:color w:val="1A1A1A"/>
          <w:sz w:val="21"/>
          <w:szCs w:val="21"/>
        </w:rPr>
        <w:t xml:space="preserve">Voor elk van de volgende reeds gekozen responsen: bedenk een plausibel secundair risico, en formuleer het als volledige risicozin (zie deel 1).</w:t>
      </w:r>
    </w:p>
    <w:p>
      <w:pPr>
        <w:spacing w:after="180" w:line="300"/>
        <w:jc w:val="both"/>
      </w:pPr>
      <w:r>
        <w:rPr>
          <w:rFonts w:ascii="Calibri" w:cs="Calibri" w:eastAsia="Calibri" w:hAnsi="Calibri"/>
          <w:color w:val="1A1A1A"/>
          <w:sz w:val="21"/>
          <w:szCs w:val="21"/>
        </w:rPr>
        <w:t xml:space="preserve">a) Respons: het conversieproject wordt uitbesteed aan een tweede, gespecialiseerde leverancier naast Kadera Software, om de afhankelijkheid van één partij te verminderen.</w:t>
      </w:r>
    </w:p>
    <w:p>
      <w:pPr>
        <w:spacing w:after="180" w:line="300"/>
        <w:jc w:val="both"/>
      </w:pPr>
      <w:r>
        <w:rPr>
          <w:rFonts w:ascii="Calibri" w:cs="Calibri" w:eastAsia="Calibri" w:hAnsi="Calibri"/>
          <w:color w:val="1A1A1A"/>
          <w:sz w:val="21"/>
          <w:szCs w:val="21"/>
        </w:rPr>
        <w:t xml:space="preserve">b) Respons: acceptatietests worden voortaan verplicht uitgevoerd door een aparte, onafhankelijke testgroep binnen de business.</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Doordat er nu twee leveranciers samenwerken aan dezelfde conversie zonder dat vooraf is vastgelegd wie bij welk deel van de dataspecificatie eindverantwoordelijk is, kan onduidelijke taakverdeling tot inconsistente conversieregels tussen beide partijen leiden, waardoor de kwaliteit van de opgeleverde data juist afneemt in plaats van toeneemt.
b) Doordat de nieuwe, onafhankelijke testgroep niet eerder bij dit project betrokken was en de projectplanning geen extra tijd voor inwerken bevat, kan de doorlooptijd van de testfase toenemen, waardoor de geplande opleverdatum alsnog in gevaar komt — ondanks dat het oorspronkelijke kwaliteitsrisico juist is verminderd.
Wat je hier moet meenemen: in beide gevallen los je het oorspronkelijke risico daadwerkelijk op, en toch ontstaat er een nieuw risico met een reëel effect op dezelfde soort doelstelling (kwaliteit, respectievelijk planning). Dat is precies waarom de respons-stap nooit het einde van het proces is.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6.4 — Kansen exploiteren</w:t>
      </w:r>
    </w:p>
    <w:p>
      <w:pPr>
        <w:spacing w:after="180" w:line="300"/>
        <w:jc w:val="both"/>
      </w:pPr>
      <w:r>
        <w:rPr>
          <w:rFonts w:ascii="Calibri" w:cs="Calibri" w:eastAsia="Calibri" w:hAnsi="Calibri"/>
          <w:color w:val="1A1A1A"/>
          <w:sz w:val="21"/>
          <w:szCs w:val="21"/>
        </w:rPr>
        <w:t xml:space="preserve">Bedenk voor je eigen praktijk (of fictief, voor Meridiaan) één kans — een positief risico — en pas er twee van de vier kans-strategieën op toe: één passieve (vergroten of delen) en één actieve (exploiteren).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toepassingsopdracht. Voorbeeld ter kalibratie, gebaseerd op Meridiaan: er is een mogelijkheid dat de nieuwe wetgeving een vereenvoudigde aanleverstandaard voor kleine werkgevers introduceert, wat de bouwtijd van de koppeling voor dat segment aanzienlijk zou verkorten.
Vergroten: Meridiaan neemt actief deel aan de consultatieronde van het wetsvoorstel en pleit voor de vereenvoudigde variant, om de kans dat die wordt aangenomen te vergroten.
Exploiteren: in plaats van te wachten op de definitieve wetstekst, bouwt Meridiaan de koppeling nu al volgens de voorgestelde vereenvoudigde standaard, in het vertrouwen dat de kans op aanname hoog genoeg is om het risico van vooruitbouwen te rechtvaardigen.
Discussiepunt: exploiteren is riskanter dan vergroten (je loopt vooruit op iets dat nog niet zeker is) — vraag de groep welke van de twee bij Meridiaans risicobereidheid zou passen, gegeven wat er in deel 3 over risicobereidheid is vastgelegd.</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6.5 — Respons kiezen voor Sanne's risico's</w:t>
      </w:r>
    </w:p>
    <w:p>
      <w:pPr>
        <w:spacing w:after="180" w:line="300"/>
        <w:jc w:val="both"/>
      </w:pPr>
      <w:r>
        <w:rPr>
          <w:rFonts w:ascii="Calibri" w:cs="Calibri" w:eastAsia="Calibri" w:hAnsi="Calibri"/>
          <w:color w:val="1A1A1A"/>
          <w:sz w:val="21"/>
          <w:szCs w:val="21"/>
        </w:rPr>
        <w:t xml:space="preserve">Kies twee van je eigen drie risico's uit de vorige delen (opdracht 4.1-4.3, gescoord in opdracht 5.3). Kies voor elk een respons of combinatie van responsen, benoem het secundaire risico, en toets: past de kosten van de respons bij de omvang van het risico, en valt het residuele risico binnen een redelijke risicobereidheid?</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Geen vast antwoord — integratieopdracht op eigen materiaal. Beoordeel bij nakijken op vier punten:
1. Is de gekozen respons een van de vijf benoemde strategieën, of een expliciete, benoemde combinatie — niet een vage koepelterm als ‘we gaan dit managen’?
2. Is er een secundair risico benoemd, en is dat zelf weer als volledige risicozin geformuleerd?
3. Is de kosten-batenafweging expliciet gemaakt, ook al is die kwalitatief (bijvoorbeeld: ‘deze maatregel is goedkoop en het risico is middelgroot, dus proportioneel’)?
4. Is er een uitspraak over of het residuele risico binnen de risicobereidheid valt, in plaats van dat de vraag onbeantwoord blijft?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6</w:t>
      </w:r>
    </w:p>
    <w:p>
      <w:pPr>
        <w:pStyle w:val="ListParagraph"/>
        <w:numPr>
          <w:ilvl w:val="0"/>
          <w:numId w:val="2"/>
        </w:numPr>
        <w:spacing w:after="100" w:line="280"/>
      </w:pPr>
      <w:r>
        <w:rPr>
          <w:rFonts w:ascii="Calibri" w:cs="Calibri" w:eastAsia="Calibri" w:hAnsi="Calibri"/>
          <w:color w:val="1A1A1A"/>
          <w:sz w:val="21"/>
          <w:szCs w:val="21"/>
        </w:rPr>
        <w:t xml:space="preserve">1. Noem de vijf responsstrategieën voor bedreigingen.</w:t>
      </w:r>
    </w:p>
    <w:p>
      <w:pPr>
        <w:pStyle w:val="ListParagraph"/>
        <w:numPr>
          <w:ilvl w:val="0"/>
          <w:numId w:val="2"/>
        </w:numPr>
        <w:spacing w:after="100" w:line="280"/>
      </w:pPr>
      <w:r>
        <w:rPr>
          <w:rFonts w:ascii="Calibri" w:cs="Calibri" w:eastAsia="Calibri" w:hAnsi="Calibri"/>
          <w:color w:val="1A1A1A"/>
          <w:sz w:val="21"/>
          <w:szCs w:val="21"/>
        </w:rPr>
        <w:t xml:space="preserve">2. Noem de vier responsstrategieën voor kansen.</w:t>
      </w:r>
    </w:p>
    <w:p>
      <w:pPr>
        <w:pStyle w:val="ListParagraph"/>
        <w:numPr>
          <w:ilvl w:val="0"/>
          <w:numId w:val="2"/>
        </w:numPr>
        <w:spacing w:after="100" w:line="280"/>
      </w:pPr>
      <w:r>
        <w:rPr>
          <w:rFonts w:ascii="Calibri" w:cs="Calibri" w:eastAsia="Calibri" w:hAnsi="Calibri"/>
          <w:color w:val="1A1A1A"/>
          <w:sz w:val="21"/>
          <w:szCs w:val="21"/>
        </w:rPr>
        <w:t xml:space="preserve">3. Wat is kernzin 4, en waarom is regel 11 van het oude register er een voorbeeld van hoe het niet moet?</w:t>
      </w:r>
    </w:p>
    <w:p>
      <w:pPr>
        <w:pStyle w:val="ListParagraph"/>
        <w:numPr>
          <w:ilvl w:val="0"/>
          <w:numId w:val="2"/>
        </w:numPr>
        <w:spacing w:after="100" w:line="280"/>
      </w:pPr>
      <w:r>
        <w:rPr>
          <w:rFonts w:ascii="Calibri" w:cs="Calibri" w:eastAsia="Calibri" w:hAnsi="Calibri"/>
          <w:color w:val="1A1A1A"/>
          <w:sz w:val="21"/>
          <w:szCs w:val="21"/>
        </w:rPr>
        <w:t xml:space="preserve">4. Wat is het verschil tussen kans-gericht en impact-gericht verminderen?</w:t>
      </w:r>
    </w:p>
    <w:p>
      <w:pPr>
        <w:pStyle w:val="ListParagraph"/>
        <w:numPr>
          <w:ilvl w:val="0"/>
          <w:numId w:val="2"/>
        </w:numPr>
        <w:spacing w:after="100" w:line="280"/>
      </w:pPr>
      <w:r>
        <w:rPr>
          <w:rFonts w:ascii="Calibri" w:cs="Calibri" w:eastAsia="Calibri" w:hAnsi="Calibri"/>
          <w:color w:val="1A1A1A"/>
          <w:sz w:val="21"/>
          <w:szCs w:val="21"/>
        </w:rPr>
        <w:t xml:space="preserve">5. Wat is een secundair risico, en wat gebeurt ermee in het proces?</w:t>
      </w:r>
    </w:p>
    <w:p>
      <w:pPr>
        <w:pStyle w:val="ListParagraph"/>
        <w:numPr>
          <w:ilvl w:val="0"/>
          <w:numId w:val="2"/>
        </w:numPr>
        <w:spacing w:after="100" w:line="280"/>
      </w:pPr>
      <w:r>
        <w:rPr>
          <w:rFonts w:ascii="Calibri" w:cs="Calibri" w:eastAsia="Calibri" w:hAnsi="Calibri"/>
          <w:color w:val="1A1A1A"/>
          <w:sz w:val="21"/>
          <w:szCs w:val="21"/>
        </w:rPr>
        <w:t xml:space="preserve">6. Welke twee vragen structureren de keuze voor een respons?</w:t>
      </w:r>
    </w:p>
    <w:p>
      <w:pPr>
        <w:pStyle w:val="ListParagraph"/>
        <w:numPr>
          <w:ilvl w:val="0"/>
          <w:numId w:val="2"/>
        </w:numPr>
        <w:spacing w:after="100" w:line="280"/>
      </w:pPr>
      <w:r>
        <w:rPr>
          <w:rFonts w:ascii="Calibri" w:cs="Calibri" w:eastAsia="Calibri" w:hAnsi="Calibri"/>
          <w:color w:val="1A1A1A"/>
          <w:sz w:val="21"/>
          <w:szCs w:val="21"/>
        </w:rPr>
        <w:t xml:space="preserve">7. Waarom is het combineren van meerdere strategieën voor één risico vaak beter dan één enkele strategie kiezen — en wat is daarbij de voorwaarde?</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Vermijden, verminderen, overdragen, delen, accepteren.</w:t>
      </w:r>
    </w:p>
    <w:p>
      <w:pPr>
        <w:spacing w:after="180" w:line="300"/>
        <w:jc w:val="both"/>
      </w:pPr>
      <w:r>
        <w:rPr>
          <w:rFonts w:ascii="Calibri" w:cs="Calibri" w:eastAsia="Calibri" w:hAnsi="Calibri"/>
          <w:color w:val="1A1A1A"/>
          <w:sz w:val="21"/>
          <w:szCs w:val="21"/>
        </w:rPr>
        <w:t xml:space="preserve">2. Exploiteren, vergroten, delen, negeren.</w:t>
      </w:r>
    </w:p>
    <w:p>
      <w:pPr>
        <w:spacing w:after="180" w:line="300"/>
        <w:jc w:val="both"/>
      </w:pPr>
      <w:r>
        <w:rPr>
          <w:rFonts w:ascii="Calibri" w:cs="Calibri" w:eastAsia="Calibri" w:hAnsi="Calibri"/>
          <w:color w:val="1A1A1A"/>
          <w:sz w:val="21"/>
          <w:szCs w:val="21"/>
        </w:rPr>
        <w:t xml:space="preserve">3. Accepteren is een besluit, geen verzuim — maar alleen als het bewust en gedocumenteerd is genomen. Regel 11 stond veertien maanden zonder enige respons of vastgelegd besluit; het was genegeerd, niet geaccepteerd.</w:t>
      </w:r>
    </w:p>
    <w:p>
      <w:pPr>
        <w:spacing w:after="180" w:line="300"/>
        <w:jc w:val="both"/>
      </w:pPr>
      <w:r>
        <w:rPr>
          <w:rFonts w:ascii="Calibri" w:cs="Calibri" w:eastAsia="Calibri" w:hAnsi="Calibri"/>
          <w:color w:val="1A1A1A"/>
          <w:sz w:val="21"/>
          <w:szCs w:val="21"/>
        </w:rPr>
        <w:t xml:space="preserve">4. Kans-gericht verminderen verkleint de waarschijnlijkheid dat het risico zich voordoet; impact-gericht verminderen verkleint het gevolg als het zich toch voordoet. Vaak zijn beide nodig, met verschillende maatregelen.</w:t>
      </w:r>
    </w:p>
    <w:p>
      <w:pPr>
        <w:spacing w:after="180" w:line="300"/>
        <w:jc w:val="both"/>
      </w:pPr>
      <w:r>
        <w:rPr>
          <w:rFonts w:ascii="Calibri" w:cs="Calibri" w:eastAsia="Calibri" w:hAnsi="Calibri"/>
          <w:color w:val="1A1A1A"/>
          <w:sz w:val="21"/>
          <w:szCs w:val="21"/>
        </w:rPr>
        <w:t xml:space="preserve">5. Een nieuw risico dat door de gekozen respons zelf wordt veroorzaakt. Het doorloopt opnieuw de hele cyclus: identificatie, analyse, evaluatie, respons.</w:t>
      </w:r>
    </w:p>
    <w:p>
      <w:pPr>
        <w:spacing w:after="180" w:line="300"/>
        <w:jc w:val="both"/>
      </w:pPr>
      <w:r>
        <w:rPr>
          <w:rFonts w:ascii="Calibri" w:cs="Calibri" w:eastAsia="Calibri" w:hAnsi="Calibri"/>
          <w:color w:val="1A1A1A"/>
          <w:sz w:val="21"/>
          <w:szCs w:val="21"/>
        </w:rPr>
        <w:t xml:space="preserve">6. Past de kosten van de respons bij de omvang van het risico? En valt het residuele risico, na de respons, binnen de vastgestelde risicobereidheid?</w:t>
      </w:r>
    </w:p>
    <w:p>
      <w:pPr>
        <w:spacing w:after="180" w:line="300"/>
        <w:jc w:val="both"/>
      </w:pPr>
      <w:r>
        <w:rPr>
          <w:rFonts w:ascii="Calibri" w:cs="Calibri" w:eastAsia="Calibri" w:hAnsi="Calibri"/>
          <w:color w:val="1A1A1A"/>
          <w:sz w:val="21"/>
          <w:szCs w:val="21"/>
        </w:rPr>
        <w:t xml:space="preserve">7. Omdat verschillende maatregelen vaak op verschillende aangrijpingspunten (oorzaak/kans versus gevolg/impact) werken en zo een vollediger effect bereiken dan één maatregel alleen — mits elk onderdeel van de combinatie expliciet benoemd is, met een eigen eigenaar en actie, in plaats van vaag te blijven onder één koepelterm.</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2026-08-16T09:55:55.095Z</dcterms:created>
  <dcterms:modified xsi:type="dcterms:W3CDTF">2026-08-16T09:55:55.096Z</dcterms:modified>
</cp:coreProperties>
</file>

<file path=docProps/custom.xml><?xml version="1.0" encoding="utf-8"?>
<Properties xmlns="http://schemas.openxmlformats.org/officeDocument/2006/custom-properties" xmlns:vt="http://schemas.openxmlformats.org/officeDocument/2006/docPropsVTypes"/>
</file>