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7 — Het register als levend instrument</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Docentenhandleiding</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7 — Docentenhandleiding</w:t>
      </w:r>
    </w:p>
    <w:p>
      <w:pPr>
        <w:pStyle w:val="Heading2"/>
        <w:spacing w:after="160" w:before="360"/>
      </w:pPr>
      <w:r>
        <w:rPr>
          <w:rFonts w:ascii="Calibri" w:cs="Calibri" w:eastAsia="Calibri" w:hAnsi="Calibri"/>
          <w:b/>
          <w:bCs/>
          <w:color w:val="2C5AA0"/>
          <w:sz w:val="26"/>
          <w:szCs w:val="26"/>
        </w:rPr>
        <w:t xml:space="preserve">Positie van dit deel</w:t>
      </w:r>
    </w:p>
    <w:p>
      <w:pPr>
        <w:spacing w:after="180" w:line="300"/>
        <w:jc w:val="both"/>
      </w:pPr>
      <w:r>
        <w:rPr>
          <w:rFonts w:ascii="Calibri" w:cs="Calibri" w:eastAsia="Calibri" w:hAnsi="Calibri"/>
          <w:color w:val="1A1A1A"/>
          <w:sz w:val="21"/>
          <w:szCs w:val="21"/>
        </w:rPr>
        <w:t xml:space="preserve">Dit deel sluit de cirkel die in deel 1 werd geopend. De hele opzet van niveau 1 volgt de vijf faalpunten van het oude WGP 2.0-register (deel 1, paragraaf 1.4), en dit deel lost het laatste, misschien belangrijkste faalpunt op: geen eigenaren. Zorg dat deelnemers dit verband expliciet zien — pak er zo nodig de samenvatting van deel 1 bij en loop de vijf punten na, met per punt aan te wijzen in welk deel het is opgelost.</w:t>
      </w:r>
    </w:p>
    <w:p>
      <w:pPr>
        <w:spacing w:after="180" w:line="300"/>
        <w:jc w:val="both"/>
      </w:pPr>
      <w:r>
        <w:rPr>
          <w:rFonts w:ascii="Calibri" w:cs="Calibri" w:eastAsia="Calibri" w:hAnsi="Calibri"/>
          <w:color w:val="1A1A1A"/>
          <w:sz w:val="21"/>
          <w:szCs w:val="21"/>
        </w:rPr>
        <w:t xml:space="preserve">Dit is ook het deel waar ‘levend instrument’ van metafoor naar concreet ontwerp gaat: een tabel met dertien kolommen en twee onderhoudsregels. Bewaak dat het geen bureaucratische exercitie wordt — elke kolom moet zijn bestaansrecht bewijzen via het ontwerpprincipe uit paragraaf 7.3.</w:t>
      </w:r>
    </w:p>
    <w:p>
      <w:pPr>
        <w:pStyle w:val="Heading2"/>
        <w:spacing w:after="160" w:before="360"/>
      </w:pPr>
      <w:r>
        <w:rPr>
          <w:rFonts w:ascii="Calibri" w:cs="Calibri" w:eastAsia="Calibri" w:hAnsi="Calibri"/>
          <w:b/>
          <w:bCs/>
          <w:color w:val="2C5AA0"/>
          <w:sz w:val="26"/>
          <w:szCs w:val="26"/>
        </w:rPr>
        <w:t xml:space="preserve">Leerdoelen</w:t>
      </w:r>
    </w:p>
    <w:p>
      <w:pPr>
        <w:pStyle w:val="ListParagraph"/>
        <w:numPr>
          <w:ilvl w:val="0"/>
          <w:numId w:val="2"/>
        </w:numPr>
        <w:spacing w:after="100" w:line="280"/>
      </w:pPr>
      <w:r>
        <w:rPr>
          <w:rFonts w:ascii="Calibri" w:cs="Calibri" w:eastAsia="Calibri" w:hAnsi="Calibri"/>
          <w:color w:val="1A1A1A"/>
          <w:sz w:val="21"/>
          <w:szCs w:val="21"/>
        </w:rPr>
        <w:t xml:space="preserve">het onderscheid tussen risico-eigenaar en actiehouder toepassen en de drie criteria voor eigenaarschap (bevoegdheid, overzicht, belang) beargumenteren;</w:t>
      </w:r>
    </w:p>
    <w:p>
      <w:pPr>
        <w:pStyle w:val="ListParagraph"/>
        <w:numPr>
          <w:ilvl w:val="0"/>
          <w:numId w:val="2"/>
        </w:numPr>
        <w:spacing w:after="100" w:line="280"/>
      </w:pPr>
      <w:r>
        <w:rPr>
          <w:rFonts w:ascii="Calibri" w:cs="Calibri" w:eastAsia="Calibri" w:hAnsi="Calibri"/>
          <w:color w:val="1A1A1A"/>
          <w:sz w:val="21"/>
          <w:szCs w:val="21"/>
        </w:rPr>
        <w:t xml:space="preserve">een register opzetten met de dertien kernkolommen en uitleggen waarom elke kolom een besluit mogelijk moet maken;</w:t>
      </w:r>
    </w:p>
    <w:p>
      <w:pPr>
        <w:pStyle w:val="ListParagraph"/>
        <w:numPr>
          <w:ilvl w:val="0"/>
          <w:numId w:val="2"/>
        </w:numPr>
        <w:spacing w:after="100" w:line="280"/>
      </w:pPr>
      <w:r>
        <w:rPr>
          <w:rFonts w:ascii="Calibri" w:cs="Calibri" w:eastAsia="Calibri" w:hAnsi="Calibri"/>
          <w:color w:val="1A1A1A"/>
          <w:sz w:val="21"/>
          <w:szCs w:val="21"/>
        </w:rPr>
        <w:t xml:space="preserve">het verschil tussen ‘herzien’ en ‘overgenomen’ toepassen op een gegeven situatie;</w:t>
      </w:r>
    </w:p>
    <w:p>
      <w:pPr>
        <w:pStyle w:val="ListParagraph"/>
        <w:numPr>
          <w:ilvl w:val="0"/>
          <w:numId w:val="2"/>
        </w:numPr>
        <w:spacing w:after="100" w:line="280"/>
      </w:pPr>
      <w:r>
        <w:rPr>
          <w:rFonts w:ascii="Calibri" w:cs="Calibri" w:eastAsia="Calibri" w:hAnsi="Calibri"/>
          <w:color w:val="1A1A1A"/>
          <w:sz w:val="21"/>
          <w:szCs w:val="21"/>
        </w:rPr>
        <w:t xml:space="preserve">de drie oorzaken van registerverwildering herkennen en de bijbehorende tegenmaatregel benoemen;</w:t>
      </w:r>
    </w:p>
    <w:p>
      <w:pPr>
        <w:pStyle w:val="ListParagraph"/>
        <w:numPr>
          <w:ilvl w:val="0"/>
          <w:numId w:val="2"/>
        </w:numPr>
        <w:spacing w:after="100" w:line="280"/>
      </w:pPr>
      <w:r>
        <w:rPr>
          <w:rFonts w:ascii="Calibri" w:cs="Calibri" w:eastAsia="Calibri" w:hAnsi="Calibri"/>
          <w:color w:val="1A1A1A"/>
          <w:sz w:val="21"/>
          <w:szCs w:val="21"/>
        </w:rPr>
        <w:t xml:space="preserve">onderscheid maken tussen een terecht gesloten risico en een risico dat te snel of zonder onderbouwing wordt gesloten.</w:t>
      </w:r>
    </w:p>
    <w:p>
      <w:pPr>
        <w:pStyle w:val="Heading2"/>
        <w:spacing w:after="160" w:before="360"/>
      </w:pPr>
      <w:r>
        <w:rPr>
          <w:rFonts w:ascii="Calibri" w:cs="Calibri" w:eastAsia="Calibri" w:hAnsi="Calibri"/>
          <w:b/>
          <w:bCs/>
          <w:color w:val="2C5AA0"/>
          <w:sz w:val="26"/>
          <w:szCs w:val="26"/>
        </w:rPr>
        <w:t xml:space="preserve">Tijdsindeling (één dagdeel, 3 uur 30)</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683"/>
        <w:gridCol w:w="3927"/>
        <w:gridCol w:w="3740"/>
      </w:tblGrid>
      <w:tr>
        <w:trPr>
          <w:tblHeader/>
        </w:trPr>
        <w:tc>
          <w:tcPr>
            <w:tcW w:type="pct" w:w="1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Tijd</w:t>
            </w:r>
          </w:p>
        </w:tc>
        <w:tc>
          <w:tcPr>
            <w:tcW w:type="pct" w:w="4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Onderdeel</w:t>
            </w:r>
          </w:p>
        </w:tc>
        <w:tc>
          <w:tcPr>
            <w:tcW w:type="pct" w:w="4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Vorm</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0:00–0:15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Terugblik deel 6, huiswerkcheck</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Kort</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0:15–0:25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Waarom een perfect register op dag één toch kan mislukken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Vertelling, slides 3–4</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0:25–0:50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Eigenaar versus actiehouder, drie criteria</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5–9, opdracht 7.1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0:50–1:20</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 dertien kolommen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10–15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1:20–1:35</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1:35–2:05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Opdracht 7.2 — de ontbrekende kolommen</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Individueel, dan vergelijken in tweetallen</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2:05–2:20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Terug naar Kernzin 1, het ontwerpprincipe</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16–17</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2:20–2:35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Pauze</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2:35–3:00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Waarom registers verwilderen</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Slides 18–22, opdracht 7.3 plenair</w:t>
            </w:r>
          </w:p>
        </w:tc>
      </w:tr>
      <w:tr>
        <w:tc>
          <w:tcPr>
            <w:tcW w:type="pct" w:w="1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3:00–3:25</w:t>
            </w:r>
          </w:p>
        </w:tc>
        <w:tc>
          <w:tcPr>
            <w:tcW w:type="pct" w:w="4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Sanne's twee onderhoudsregels, opdracht 7.4 gestart</w:t>
            </w:r>
          </w:p>
        </w:tc>
        <w:tc>
          <w:tcPr>
            <w:tcW w:type="pct" w:w="4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Slides 23–25</w:t>
            </w:r>
          </w:p>
        </w:tc>
      </w:tr>
      <w:tr>
        <w:tc>
          <w:tcPr>
            <w:tcW w:type="pct" w:w="1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3:25–3:30</w:t>
            </w:r>
          </w:p>
        </w:tc>
        <w:tc>
          <w:tcPr>
            <w:tcW w:type="pct" w:w="4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Vooruitblik deel 8</w:t>
            </w:r>
          </w:p>
        </w:tc>
        <w:tc>
          <w:tcPr>
            <w:tcW w:type="pct" w:w="4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Slide 26</w:t>
            </w:r>
          </w:p>
        </w:tc>
      </w:tr>
    </w:tbl>
    <w:p>
      <w:pPr>
        <w:spacing w:after="180" w:line="300"/>
        <w:jc w:val="both"/>
      </w:pPr>
      <w:r>
        <w:rPr>
          <w:rFonts w:ascii="Calibri" w:cs="Calibri" w:eastAsia="Calibri" w:hAnsi="Calibri"/>
          <w:color w:val="1A1A1A"/>
          <w:sz w:val="21"/>
          <w:szCs w:val="21"/>
        </w:rPr>
        <w:t xml:space="preserve">Huiswerk voor deel 8: opdracht 7.4 afmaken (eigen registersjabloon met drie risico's, dertien kolommen).</w:t>
      </w:r>
    </w:p>
    <w:p>
      <w:pPr>
        <w:pStyle w:val="Heading2"/>
        <w:spacing w:after="160" w:before="360"/>
      </w:pPr>
      <w:r>
        <w:rPr>
          <w:rFonts w:ascii="Calibri" w:cs="Calibri" w:eastAsia="Calibri" w:hAnsi="Calibri"/>
          <w:b/>
          <w:bCs/>
          <w:color w:val="2C5AA0"/>
          <w:sz w:val="26"/>
          <w:szCs w:val="26"/>
        </w:rPr>
        <w:t xml:space="preserve">Valkuilen bij de uitleg</w:t>
      </w:r>
    </w:p>
    <w:p>
      <w:pPr>
        <w:pStyle w:val="ListParagraph"/>
        <w:numPr>
          <w:ilvl w:val="0"/>
          <w:numId w:val="2"/>
        </w:numPr>
        <w:spacing w:after="100" w:line="280"/>
      </w:pPr>
      <w:r>
        <w:rPr>
          <w:rFonts w:ascii="Calibri" w:cs="Calibri" w:eastAsia="Calibri" w:hAnsi="Calibri"/>
          <w:color w:val="1A1A1A"/>
          <w:sz w:val="21"/>
          <w:szCs w:val="21"/>
        </w:rPr>
        <w:t xml:space="preserve">Het onderscheid eigenaar/actiehouder als louter organisatorisch detail behandelen. Het is de kern van waarom bevinding 6 uit de post-mortem ontstond. Besteed er echt de tijd aan die in de tijdsindeling staat — dit is niet een bijzaak tussen de andere onderwerpen.</w:t>
      </w:r>
    </w:p>
    <w:p>
      <w:pPr>
        <w:pStyle w:val="ListParagraph"/>
        <w:numPr>
          <w:ilvl w:val="0"/>
          <w:numId w:val="2"/>
        </w:numPr>
        <w:spacing w:after="100" w:line="280"/>
      </w:pPr>
      <w:r>
        <w:rPr>
          <w:rFonts w:ascii="Calibri" w:cs="Calibri" w:eastAsia="Calibri" w:hAnsi="Calibri"/>
          <w:color w:val="1A1A1A"/>
          <w:sz w:val="21"/>
          <w:szCs w:val="21"/>
        </w:rPr>
        <w:t xml:space="preserve">De dertien kolommen als verplicht compleet sjabloon presenteren, zonder het ontwerpprincipe. Sommige organisaties hebben minder kolommen nodig, andere meer. De les is niet ‘dertien is het juiste aantal’, de les is ‘elke kolom moet een besluit mogelijk maken’. Wees hier expliciet over, anders ontstaat het omgekeerde probleem: een overvol register met kolommen die nooit worden ingevuld.</w:t>
      </w:r>
    </w:p>
    <w:p>
      <w:pPr>
        <w:pStyle w:val="ListParagraph"/>
        <w:numPr>
          <w:ilvl w:val="0"/>
          <w:numId w:val="2"/>
        </w:numPr>
        <w:spacing w:after="100" w:line="280"/>
      </w:pPr>
      <w:r>
        <w:rPr>
          <w:rFonts w:ascii="Calibri" w:cs="Calibri" w:eastAsia="Calibri" w:hAnsi="Calibri"/>
          <w:color w:val="1A1A1A"/>
          <w:sz w:val="21"/>
          <w:szCs w:val="21"/>
        </w:rPr>
        <w:t xml:space="preserve">Zombie-risico's alleen als ‘te lang laten hangen’ framen. Opdracht 7.3 laat zien dat het omgekeerde — te snel sluiten zonder onderbouwing — precies dezelfde fout is. Behandel beide kanten van deze medaille, niet alleen de meest voor de hand liggende.</w:t>
      </w:r>
    </w:p>
    <w:p>
      <w:pPr>
        <w:pStyle w:val="ListParagraph"/>
        <w:numPr>
          <w:ilvl w:val="0"/>
          <w:numId w:val="2"/>
        </w:numPr>
        <w:spacing w:after="100" w:line="280"/>
      </w:pPr>
      <w:r>
        <w:rPr>
          <w:rFonts w:ascii="Calibri" w:cs="Calibri" w:eastAsia="Calibri" w:hAnsi="Calibri"/>
          <w:color w:val="1A1A1A"/>
          <w:sz w:val="21"/>
          <w:szCs w:val="21"/>
        </w:rPr>
        <w:t xml:space="preserve">De twee onderhoudsregels (maandelijkse bevestiging, herziening bij fase-overgang) als extra bureaucratie laten voelen. Leg de functie uit: de maandelijkse bevestiging is geen rapportageplicht maar een signaalfunctie — het uitblijven ervan is zelf waardevolle informatie (de eigenaar is niet meer betrokken, of het risico is echt vergeten).</w:t>
      </w:r>
    </w:p>
    <w:p>
      <w:pPr>
        <w:pStyle w:val="Heading2"/>
        <w:spacing w:after="160" w:before="360"/>
      </w:pPr>
      <w:r>
        <w:rPr>
          <w:rFonts w:ascii="Calibri" w:cs="Calibri" w:eastAsia="Calibri" w:hAnsi="Calibri"/>
          <w:b/>
          <w:bCs/>
          <w:color w:val="2C5AA0"/>
          <w:sz w:val="26"/>
          <w:szCs w:val="26"/>
        </w:rPr>
        <w:t xml:space="preserve">Bij welke groep werkt dit hoe</w:t>
      </w:r>
    </w:p>
    <w:p>
      <w:pPr>
        <w:spacing w:after="180" w:line="300"/>
        <w:jc w:val="both"/>
      </w:pPr>
      <w:r>
        <w:rPr>
          <w:rFonts w:ascii="Calibri" w:cs="Calibri" w:eastAsia="Calibri" w:hAnsi="Calibri"/>
          <w:b/>
          <w:bCs/>
          <w:color w:val="1B2A4A"/>
          <w:sz w:val="21"/>
          <w:szCs w:val="21"/>
        </w:rPr>
        <w:t xml:space="preserve">Deelnemers uit kleine teams of kleine organisaties.</w:t>
      </w:r>
      <w:r>
        <w:rPr>
          <w:rFonts w:ascii="Calibri" w:cs="Calibri" w:eastAsia="Calibri" w:hAnsi="Calibri"/>
          <w:color w:val="1A1A1A"/>
          <w:sz w:val="21"/>
          <w:szCs w:val="21"/>
        </w:rPr>
        <w:t xml:space="preserve"> Vinden het onderscheid eigenaar/actiehouder soms kunstmatig omdat in de praktijk vaak dezelfde persoon beide rollen vervult. Erken dat expliciet (zie de uitwerking bij opdracht 7.4) — de vraag blijft waardevol, ook als hij door één persoon wordt beantwoord, omdat hij een ander soort nadenken afdwingt dan alleen ‘ik voer deze taak uit’.</w:t>
      </w:r>
    </w:p>
    <w:p>
      <w:pPr>
        <w:spacing w:after="180" w:line="300"/>
        <w:jc w:val="both"/>
      </w:pPr>
      <w:r>
        <w:rPr>
          <w:rFonts w:ascii="Calibri" w:cs="Calibri" w:eastAsia="Calibri" w:hAnsi="Calibri"/>
          <w:b/>
          <w:bCs/>
          <w:color w:val="1B2A4A"/>
          <w:sz w:val="21"/>
          <w:szCs w:val="21"/>
        </w:rPr>
        <w:t xml:space="preserve">Deelnemers met een IT-achtergrond of GRC-tool-ervaring.</w:t>
      </w:r>
      <w:r>
        <w:rPr>
          <w:rFonts w:ascii="Calibri" w:cs="Calibri" w:eastAsia="Calibri" w:hAnsi="Calibri"/>
          <w:color w:val="1A1A1A"/>
          <w:sz w:val="21"/>
          <w:szCs w:val="21"/>
        </w:rPr>
        <w:t xml:space="preserve"> Zijn vaak gewend aan uitgebreide registersystemen met tientallen velden. Gebruik hen om het gesprek te voeren over ‘hoeveel kolommen is te veel’ — hun ervaring met velden die nooit worden ingevuld is een goede illustratie van het ontwerpprincipe uit 7.3.</w:t>
      </w:r>
    </w:p>
    <w:p>
      <w:pPr>
        <w:spacing w:after="180" w:line="300"/>
        <w:jc w:val="both"/>
      </w:pPr>
      <w:r>
        <w:rPr>
          <w:rFonts w:ascii="Calibri" w:cs="Calibri" w:eastAsia="Calibri" w:hAnsi="Calibri"/>
          <w:b/>
          <w:bCs/>
          <w:color w:val="1B2A4A"/>
          <w:sz w:val="21"/>
          <w:szCs w:val="21"/>
        </w:rPr>
        <w:t xml:space="preserve">Projectmanagers die zelf ooit een risicoregister hebben ‘geërfd’ van een voorganger.</w:t>
      </w:r>
      <w:r>
        <w:rPr>
          <w:rFonts w:ascii="Calibri" w:cs="Calibri" w:eastAsia="Calibri" w:hAnsi="Calibri"/>
          <w:color w:val="1A1A1A"/>
          <w:sz w:val="21"/>
          <w:szCs w:val="21"/>
        </w:rPr>
        <w:t xml:space="preserve"> Herkennen het kopieerregister-probleem uit 7.5 onmiddellijk. Vraag hen naar hun ervaring — dit soort anekdotes maakt het onderwerp levendiger dan de theorie alleen.</w:t>
      </w:r>
    </w:p>
    <w:p>
      <w:pPr>
        <w:pStyle w:val="Heading2"/>
        <w:spacing w:after="160" w:before="360"/>
      </w:pPr>
      <w:r>
        <w:rPr>
          <w:rFonts w:ascii="Calibri" w:cs="Calibri" w:eastAsia="Calibri" w:hAnsi="Calibri"/>
          <w:b/>
          <w:bCs/>
          <w:color w:val="2C5AA0"/>
          <w:sz w:val="26"/>
          <w:szCs w:val="26"/>
        </w:rPr>
        <w:t xml:space="preserve">Discussievragen</w:t>
      </w:r>
    </w:p>
    <w:p>
      <w:pPr>
        <w:pStyle w:val="ListParagraph"/>
        <w:numPr>
          <w:ilvl w:val="0"/>
          <w:numId w:val="2"/>
        </w:numPr>
        <w:spacing w:after="100" w:line="280"/>
      </w:pPr>
      <w:r>
        <w:rPr>
          <w:rFonts w:ascii="Calibri" w:cs="Calibri" w:eastAsia="Calibri" w:hAnsi="Calibri"/>
          <w:color w:val="1A1A1A"/>
          <w:sz w:val="21"/>
          <w:szCs w:val="21"/>
        </w:rPr>
        <w:t xml:space="preserve">Wie is in jouw organisatie op dit moment risico-eigenaar van het risico dat het meest waarschijnlijk misgaat — en voldoet die persoon aan de drie criteria (bevoegdheid, overzicht, belang)?</w:t>
      </w:r>
    </w:p>
    <w:p>
      <w:pPr>
        <w:pStyle w:val="ListParagraph"/>
        <w:numPr>
          <w:ilvl w:val="0"/>
          <w:numId w:val="2"/>
        </w:numPr>
        <w:spacing w:after="100" w:line="280"/>
      </w:pPr>
      <w:r>
        <w:rPr>
          <w:rFonts w:ascii="Calibri" w:cs="Calibri" w:eastAsia="Calibri" w:hAnsi="Calibri"/>
          <w:color w:val="1A1A1A"/>
          <w:sz w:val="21"/>
          <w:szCs w:val="21"/>
        </w:rPr>
        <w:t xml:space="preserve">Is er in jouw organisatie een risico dat ‘iedereen kent’ maar dat nergens formeel op een register staat, met een eigenaar? Wat houdt tegen om het daar wél op te zetten?</w:t>
      </w:r>
    </w:p>
    <w:p>
      <w:pPr>
        <w:pStyle w:val="ListParagraph"/>
        <w:numPr>
          <w:ilvl w:val="0"/>
          <w:numId w:val="2"/>
        </w:numPr>
        <w:spacing w:after="100" w:line="280"/>
      </w:pPr>
      <w:r>
        <w:rPr>
          <w:rFonts w:ascii="Calibri" w:cs="Calibri" w:eastAsia="Calibri" w:hAnsi="Calibri"/>
          <w:color w:val="1A1A1A"/>
          <w:sz w:val="21"/>
          <w:szCs w:val="21"/>
        </w:rPr>
        <w:t xml:space="preserve">Stel je voor dat jouw huidige risicoregister morgen wordt overgenomen door iemand die het voor het eerst ziet. Welke van de dertien kolommen zou die persoon het meest missen?</w:t>
      </w:r>
    </w:p>
    <w:p>
      <w:pPr>
        <w:pStyle w:val="Heading2"/>
        <w:spacing w:after="160" w:before="360"/>
      </w:pPr>
      <w:r>
        <w:rPr>
          <w:rFonts w:ascii="Calibri" w:cs="Calibri" w:eastAsia="Calibri" w:hAnsi="Calibri"/>
          <w:b/>
          <w:bCs/>
          <w:color w:val="2C5AA0"/>
          <w:sz w:val="26"/>
          <w:szCs w:val="26"/>
        </w:rPr>
        <w:t xml:space="preserve">Antwoordmodel voor de moeilijkste bespreking (opdracht 7.3, zombie of niet)</w:t>
      </w:r>
    </w:p>
    <w:p>
      <w:pPr>
        <w:spacing w:after="180" w:line="300"/>
        <w:jc w:val="both"/>
      </w:pPr>
      <w:r>
        <w:rPr>
          <w:rFonts w:ascii="Calibri" w:cs="Calibri" w:eastAsia="Calibri" w:hAnsi="Calibri"/>
          <w:color w:val="1A1A1A"/>
          <w:sz w:val="21"/>
          <w:szCs w:val="21"/>
        </w:rPr>
        <w:t xml:space="preserve">Deelnemers hellen vaak snel over naar ‘twee jaar zonder incident is toch een goed signaal, dus sluiten’. Laat de groep het onderscheid zelf vinden met een tegenvraag: is er in de afgelopen twee jaar iets veranderd aan de oorzaak van dit risico, of is het puur toeval dat het zich niet heeft voorgedaan? Als het antwoord ‘toeval’ is, dan is de kansschatting zelf niet veranderd — wat wél is veranderd, is hoeveel keer je ‘geluk hebt gehad’, en dat is geen reden om de kans naar beneden bij te stellen. Vergelijk dit met het lot van regel 11 in het oude register: het feit dat het risico zich uiteindelijk niet voordeed (omdat het project werd gestopt) had niets te maken met de kwaliteit van het risicomanagement rond dat risico. Toeval en beheersing zijn twee verschillende dingen, en een goed register houdt ze uit elkaar.</w:t>
      </w:r>
    </w:p>
    <w:p>
      <w:pPr>
        <w:pStyle w:val="Heading2"/>
        <w:spacing w:after="160" w:before="360"/>
      </w:pPr>
      <w:r>
        <w:rPr>
          <w:rFonts w:ascii="Calibri" w:cs="Calibri" w:eastAsia="Calibri" w:hAnsi="Calibri"/>
          <w:b/>
          <w:bCs/>
          <w:color w:val="2C5AA0"/>
          <w:sz w:val="26"/>
          <w:szCs w:val="26"/>
        </w:rPr>
        <w:t xml:space="preserve">Materiaal</w:t>
      </w:r>
    </w:p>
    <w:p>
      <w:pPr>
        <w:pStyle w:val="ListParagraph"/>
        <w:numPr>
          <w:ilvl w:val="0"/>
          <w:numId w:val="2"/>
        </w:numPr>
        <w:spacing w:after="100" w:line="280"/>
      </w:pPr>
      <w:r>
        <w:rPr>
          <w:rFonts w:ascii="Calibri" w:cs="Calibri" w:eastAsia="Calibri" w:hAnsi="Calibri"/>
          <w:color w:val="1A1A1A"/>
          <w:sz w:val="21"/>
          <w:szCs w:val="21"/>
        </w:rPr>
        <w:t xml:space="preserve">Het lege registersjabloon met dertien kolommen, als uitdeelblad of digitaal bestand, klaar voor opdracht 7.2 en 7.4.</w:t>
      </w:r>
    </w:p>
    <w:p>
      <w:pPr>
        <w:pStyle w:val="ListParagraph"/>
        <w:numPr>
          <w:ilvl w:val="0"/>
          <w:numId w:val="2"/>
        </w:numPr>
        <w:spacing w:after="100" w:line="280"/>
      </w:pPr>
      <w:r>
        <w:rPr>
          <w:rFonts w:ascii="Calibri" w:cs="Calibri" w:eastAsia="Calibri" w:hAnsi="Calibri"/>
          <w:color w:val="1A1A1A"/>
          <w:sz w:val="21"/>
          <w:szCs w:val="21"/>
        </w:rPr>
        <w:t xml:space="preserve">De samenvatting van deel 1 (vijf faalpunten) bij de hand om het verband expliciet te maken aan het begin van dit dagdeel.</w:t>
      </w:r>
    </w:p>
    <w:p>
      <w:pPr>
        <w:pStyle w:val="ListParagraph"/>
        <w:numPr>
          <w:ilvl w:val="0"/>
          <w:numId w:val="2"/>
        </w:numPr>
        <w:spacing w:after="100" w:line="280"/>
      </w:pPr>
      <w:r>
        <w:rPr>
          <w:rFonts w:ascii="Calibri" w:cs="Calibri" w:eastAsia="Calibri" w:hAnsi="Calibri"/>
          <w:color w:val="1A1A1A"/>
          <w:sz w:val="21"/>
          <w:szCs w:val="21"/>
        </w:rPr>
        <w:t xml:space="preserve">Optioneel: een geanonimiseerd voorbeeld van een ‘kopieerregister’ uit de praktijk (met duidelijk zichtbare inconsistenties tussen rapportagerondes) voor de bespreking in paragraaf 7.5.</w:t>
      </w:r>
    </w:p>
    <w:p>
      <w:pPr>
        <w:pStyle w:val="Heading2"/>
        <w:spacing w:after="160" w:before="360"/>
      </w:pPr>
      <w:r>
        <w:rPr>
          <w:rFonts w:ascii="Calibri" w:cs="Calibri" w:eastAsia="Calibri" w:hAnsi="Calibri"/>
          <w:b/>
          <w:bCs/>
          <w:color w:val="2C5AA0"/>
          <w:sz w:val="26"/>
          <w:szCs w:val="26"/>
        </w:rPr>
        <w:t xml:space="preserve">Aansluiting op deel 8</w:t>
      </w:r>
    </w:p>
    <w:p>
      <w:pPr>
        <w:spacing w:after="180" w:line="300"/>
        <w:jc w:val="both"/>
      </w:pPr>
      <w:r>
        <w:rPr>
          <w:rFonts w:ascii="Calibri" w:cs="Calibri" w:eastAsia="Calibri" w:hAnsi="Calibri"/>
          <w:color w:val="1A1A1A"/>
          <w:sz w:val="21"/>
          <w:szCs w:val="21"/>
        </w:rPr>
        <w:t xml:space="preserve">Sluit af met: het register heeft nu een trigger-kolom, maar dit deel heeft nog niet uitgewerkt hóe je een trigger vaststelt, of wanneer een overschrijding daadwerkelijk tot escalatie moet leiden. Dat is deel 8 — toleranties, triggers, en het principe dat de tolerantieoverschrijding de trigger is, niet het ongemak van de risicomanager.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2026-08-16T10:07:00.625Z</dcterms:created>
  <dcterms:modified xsi:type="dcterms:W3CDTF">2026-08-16T10:07:00.626Z</dcterms:modified>
</cp:coreProperties>
</file>

<file path=docProps/custom.xml><?xml version="1.0" encoding="utf-8"?>
<Properties xmlns="http://schemas.openxmlformats.org/officeDocument/2006/custom-properties" xmlns:vt="http://schemas.openxmlformats.org/officeDocument/2006/docPropsVTypes"/>
</file>