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7 — Het register als levend instrument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7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7.1 — Eigenaar of actiehouder?</w:t>
      </w:r>
    </w:p>
    <w:p>
      <w:pPr>
        <w:spacing w:after="180" w:line="300"/>
        <w:jc w:val="both"/>
      </w:pPr>
      <w:r>
        <w:rPr>
          <w:rFonts w:ascii="Calibri" w:cs="Calibri" w:eastAsia="Calibri" w:hAnsi="Calibri"/>
          <w:color w:val="1A1A1A"/>
          <w:sz w:val="21"/>
          <w:szCs w:val="21"/>
        </w:rPr>
        <w:t xml:space="preserve">Voor elk van de volgende namen bij een risico: is dit een risico-eigenaar of een actiehouder, gegeven de beschrijving? Onderbouw.</w:t>
      </w:r>
    </w:p>
    <w:p>
      <w:pPr>
        <w:spacing w:after="180" w:line="300"/>
        <w:jc w:val="both"/>
      </w:pPr>
      <w:r>
        <w:rPr>
          <w:rFonts w:ascii="Calibri" w:cs="Calibri" w:eastAsia="Calibri" w:hAnsi="Calibri"/>
          <w:color w:val="1A1A1A"/>
          <w:sz w:val="21"/>
          <w:szCs w:val="21"/>
        </w:rPr>
        <w:t xml:space="preserve">a) “Marieke, teamleider Data, beslist of de gekozen respons nog voldoet en rapporteert hierover aan de stuurgroep.”</w:t>
      </w:r>
    </w:p>
    <w:p>
      <w:pPr>
        <w:spacing w:after="180" w:line="300"/>
        <w:jc w:val="both"/>
      </w:pPr>
      <w:r>
        <w:rPr>
          <w:rFonts w:ascii="Calibri" w:cs="Calibri" w:eastAsia="Calibri" w:hAnsi="Calibri"/>
          <w:color w:val="1A1A1A"/>
          <w:sz w:val="21"/>
          <w:szCs w:val="21"/>
        </w:rPr>
        <w:t xml:space="preserve">b) “Tom stelt de documentatie van de premieberekening op vóór 1 oktober.”</w:t>
      </w:r>
    </w:p>
    <w:p>
      <w:pPr>
        <w:spacing w:after="180" w:line="300"/>
        <w:jc w:val="both"/>
      </w:pPr>
      <w:r>
        <w:rPr>
          <w:rFonts w:ascii="Calibri" w:cs="Calibri" w:eastAsia="Calibri" w:hAnsi="Calibri"/>
          <w:color w:val="1A1A1A"/>
          <w:sz w:val="21"/>
          <w:szCs w:val="21"/>
        </w:rPr>
        <w:t xml:space="preserve">c) “Karim is verantwoordelijk voor het risico rond de testcapaciteit — hij beoordeelt maandelijks of de respons nog werkt en heeft de bevoegdheid extra capaciteit aan te vragen.”</w:t>
      </w:r>
    </w:p>
    <w:p>
      <w:pPr>
        <w:spacing w:after="180" w:line="300"/>
        <w:jc w:val="both"/>
      </w:pPr>
      <w:r>
        <w:rPr>
          <w:rFonts w:ascii="Calibri" w:cs="Calibri" w:eastAsia="Calibri" w:hAnsi="Calibri"/>
          <w:color w:val="1A1A1A"/>
          <w:sz w:val="21"/>
          <w:szCs w:val="21"/>
        </w:rPr>
        <w:t xml:space="preserve">d) “Sofie voert de wekelijkse controle van de conversielogs uit.”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Risico-eigenaar. Beoordeelt het risico als geheel en legt verantwoording af — precies de drie criteria (bevoegdheid, overzicht, belang) impliciet aanwezig.
b) Actiehouder. Eén specifieke, afgesproken maatregel met een deadline.
c) Risico-eigenaar. Maandelijkse beoordeling én de bevoegdheid om te handelen — dit is het schoolvoorbeeld van een eigenaar die aan alle drie de criteria voldoet.
d) Actiehouder. Eén specifieke, terugkerende taak, geen eigenaarschap van het risico als geheel.
Discussiepunt: d is een goede illustratie dat een actiehouder ook een terugkerende taak kan hebben — het onderscheid met eigenaarschap zit niet in eenmalig-versus-herhaald, maar in of iemand over de respons als geheel beslist, of alleen één maatregel uitvoert.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7.2 — De ontbrekende kolommen</w:t>
      </w:r>
    </w:p>
    <w:p>
      <w:pPr>
        <w:spacing w:after="180" w:line="300"/>
        <w:jc w:val="both"/>
      </w:pPr>
      <w:r>
        <w:rPr>
          <w:rFonts w:ascii="Calibri" w:cs="Calibri" w:eastAsia="Calibri" w:hAnsi="Calibri"/>
          <w:color w:val="1A1A1A"/>
          <w:sz w:val="21"/>
          <w:szCs w:val="21"/>
        </w:rPr>
        <w:t xml:space="preserve">Onderstaand is een (sterk vereenvoudigde) registerregel zoals die in het oude WGP 2.0-register stond: Conversie deelnemersgegevens — kans 5, impact 5, score 25, eigenaar (leeg).</w:t>
      </w:r>
    </w:p>
    <w:p>
      <w:pPr>
        <w:spacing w:after="180" w:line="300"/>
        <w:jc w:val="both"/>
      </w:pPr>
      <w:r>
        <w:rPr>
          <w:rFonts w:ascii="Calibri" w:cs="Calibri" w:eastAsia="Calibri" w:hAnsi="Calibri"/>
          <w:color w:val="1A1A1A"/>
          <w:sz w:val="21"/>
          <w:szCs w:val="21"/>
        </w:rPr>
        <w:t xml:space="preserve">Vul deze regel aan tot een volledige regel volgens de dertien kolommen uit paragraaf 7.2. Je mag zelf plausibele details verzinnen waar nodig (bijvoorbeeld voor de risicozin, respons en trigger), zolang ze consistent zijn met wat je in eerdere delen over dit risico hebt geleerd.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Een verdedigbaar volledig ingevulde regel: ID R-011. Risicozin: doordat de conversiesoftware door één partij (Kadera Software) wordt geleverd en de dataspecificatie alleen daar bekend is, kan vertraging aan hun kant niet intern worden opgevangen, waardoor de proefconversie en de go-live-beslissing niet op het geplande moment kunnen plaatsvinden. Categorie: extern/leverancier. Gekoppelde doelstelling: opleverdatum 1 november. Kans/impact inherent: 5/5. Respons(en): overdragen (contractuele boeteclausule) + verminderen (documentatie dataspecificatie ook intern vastleggen). Actie(s) en actiehouder(s): boeteclausule opnemen in contract — inkoop, vóór 1 sept; dataspecificatie intern documenteren — Tom, vóór 1 okt. Risico-eigenaar: Marieke, teamleider Data. Kans/impact residueel: 3/4. Secundaire risico's: R-024, kwaliteitsdruk bij leverancier door boeteclausule. Status: in uitvoering. Tolerantie/trigger: escaleren naar stuurgroep bij een gemelde vertraging &gt; 2 weken bij Kadera. Laatst herzien: datum van invulling.
Wat je hier moet meenemen: de kale regel uit het oude register bevatte vier van de dertien kolommen, en van die vier was er één (eigenaar) leeg. Dat is geen incidentele karigheid — het is precies het patroon dat in deel 1 werd vastgesteld als vijf faalpunten, nu concreet zichtbaar in de vorm van een tabel.</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7.3 — Zombie of niet?</w:t>
      </w:r>
    </w:p>
    <w:p>
      <w:pPr>
        <w:spacing w:after="180" w:line="300"/>
        <w:jc w:val="both"/>
      </w:pPr>
      <w:r>
        <w:rPr>
          <w:rFonts w:ascii="Calibri" w:cs="Calibri" w:eastAsia="Calibri" w:hAnsi="Calibri"/>
          <w:color w:val="1A1A1A"/>
          <w:sz w:val="21"/>
          <w:szCs w:val="21"/>
        </w:rPr>
        <w:t xml:space="preserve">Een collega stelt voor een risico te sluiten dat al twee jaar op het register staat, met de simpele reden “dit is nooit gebeurd en zal ook nooit gebeuren”. Is dit een goede reden om te sluiten? Beargumenteer, met een verwijzing naar Kernzin 4 uit deel 6.</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Nee, niet zonder meer — en de reden hangt direct samen met Kernzin 4. ‘Dit is nooit gebeurd’ zegt iets over de afgelopen twee jaar, niet over de onderliggende kans die naar de toekomst toe nog steeds kan bestaan. Sluiten zonder onderbouwing van waarom de kans of de context is veranderd, is het spiegelbeeld van negeren: een besluit dat wordt genomen omdat het risico ongemakkelijk of overbodig aanvoelt, niet omdat er feitelijk iets is veranderd.
Een verdedigbare sluiting vereist een van twee dingen: ofwel de oorzaak zelf is weggenomen (bijvoorbeeld: de leverancier bestaat niet meer, de wet is definitief niet gewijzigd), ofwel er is een bewust acceptatiebesluit genomen met dezelfde eisen als in deel 6 — datum, onderbouwing, vaststellend besluit. ‘Het is nooit gebeurd’ is op zichzelf geen van beide; het is een aanwijzing om opnieuw naar de kansschatting te kijken, niet een reden om te sluiten.
Wat je hier moet meenemen: een zombie-risico wordt vaak juist verward met ‘een risico dat te lang blijft hangen zonder reden’. Dit voorbeeld laat zien dat het omgekeerde risico — te snel sluiten zonder onderbouwing — precies dezelfde denkfout is als negeren, alleen in de tegenovergestelde richting.</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7.4 — Ontwerp je eigen registersjabloon</w:t>
      </w:r>
    </w:p>
    <w:p>
      <w:pPr>
        <w:spacing w:after="180" w:line="300"/>
        <w:jc w:val="both"/>
      </w:pPr>
      <w:r>
        <w:rPr>
          <w:rFonts w:ascii="Calibri" w:cs="Calibri" w:eastAsia="Calibri" w:hAnsi="Calibri"/>
          <w:color w:val="1A1A1A"/>
          <w:sz w:val="21"/>
          <w:szCs w:val="21"/>
        </w:rPr>
        <w:t xml:space="preserve">Neem je eigen drie risico's uit de vorige delen (nu compleet met respons uit deel 6) en zet ze in een tabel met de dertien kolommen uit paragraaf 7.2. Reflecteer kort: welke kolom was het lastigst in te vullen, en waarom?</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integratieopdracht op eigen materiaal. Veelvoorkomende reflecties, ter kalibratie:
‘Tolerantie/trigger’ is vaak het lastigst, omdat het vooruitloopt op stof uit deel 8 die nog niet volledig is behandeld. Dat is prima — een eerste, grove poging is voldoende; deel 8 verdiept dit.
‘Gekoppelde doelstelling’ blijkt soms lastig als het oorspronkelijke context- en criteriadocument (opdracht 3.5) niet scherp genoeg was. Dat is zelf een nuttige constatering: het laat zien dat kwaliteit in een vroege stap (context bepalen) zich later terugbetaalt of juist wreekt.
‘Risico-eigenaar’ apart van actiehouder houden is voor deelnemers uit kleine teams soms kunstmatig, omdat in de praktijk dezelfde persoon vaak beide rollen vervult. Erken dat: in kleine teams is rolscheiding lastiger, maar de vraag ‘wie beoordeelt het risico als geheel, los van de losse actie’ blijft ook dan waardevol om apart te stellen — al is het dezelfde persoon die hem beantwoordt.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7</w:t>
      </w:r>
    </w:p>
    <w:p>
      <w:pPr>
        <w:pStyle w:val="ListParagraph"/>
        <w:numPr>
          <w:ilvl w:val="0"/>
          <w:numId w:val="2"/>
        </w:numPr>
        <w:spacing w:after="100" w:line="280"/>
      </w:pPr>
      <w:r>
        <w:rPr>
          <w:rFonts w:ascii="Calibri" w:cs="Calibri" w:eastAsia="Calibri" w:hAnsi="Calibri"/>
          <w:color w:val="1A1A1A"/>
          <w:sz w:val="21"/>
          <w:szCs w:val="21"/>
        </w:rPr>
        <w:t xml:space="preserve">1. Wat is het verschil tussen een risico-eigenaar en een actiehouder?</w:t>
      </w:r>
    </w:p>
    <w:p>
      <w:pPr>
        <w:pStyle w:val="ListParagraph"/>
        <w:numPr>
          <w:ilvl w:val="0"/>
          <w:numId w:val="2"/>
        </w:numPr>
        <w:spacing w:after="100" w:line="280"/>
      </w:pPr>
      <w:r>
        <w:rPr>
          <w:rFonts w:ascii="Calibri" w:cs="Calibri" w:eastAsia="Calibri" w:hAnsi="Calibri"/>
          <w:color w:val="1A1A1A"/>
          <w:sz w:val="21"/>
          <w:szCs w:val="21"/>
        </w:rPr>
        <w:t xml:space="preserve">2. Noem de drie criteria waaraan een risico-eigenaar zou moeten voldoen.</w:t>
      </w:r>
    </w:p>
    <w:p>
      <w:pPr>
        <w:pStyle w:val="ListParagraph"/>
        <w:numPr>
          <w:ilvl w:val="0"/>
          <w:numId w:val="2"/>
        </w:numPr>
        <w:spacing w:after="100" w:line="280"/>
      </w:pPr>
      <w:r>
        <w:rPr>
          <w:rFonts w:ascii="Calibri" w:cs="Calibri" w:eastAsia="Calibri" w:hAnsi="Calibri"/>
          <w:color w:val="1A1A1A"/>
          <w:sz w:val="21"/>
          <w:szCs w:val="21"/>
        </w:rPr>
        <w:t xml:space="preserve">3. Noem minstens acht van de dertien kolommen van een werkend register.</w:t>
      </w:r>
    </w:p>
    <w:p>
      <w:pPr>
        <w:pStyle w:val="ListParagraph"/>
        <w:numPr>
          <w:ilvl w:val="0"/>
          <w:numId w:val="2"/>
        </w:numPr>
        <w:spacing w:after="100" w:line="280"/>
      </w:pPr>
      <w:r>
        <w:rPr>
          <w:rFonts w:ascii="Calibri" w:cs="Calibri" w:eastAsia="Calibri" w:hAnsi="Calibri"/>
          <w:color w:val="1A1A1A"/>
          <w:sz w:val="21"/>
          <w:szCs w:val="21"/>
        </w:rPr>
        <w:t xml:space="preserve">4. Wat is het verschil tussen ‘laatst herzien’ en ‘laatst overgenomen naar een nieuw sjabloon’?</w:t>
      </w:r>
    </w:p>
    <w:p>
      <w:pPr>
        <w:pStyle w:val="ListParagraph"/>
        <w:numPr>
          <w:ilvl w:val="0"/>
          <w:numId w:val="2"/>
        </w:numPr>
        <w:spacing w:after="100" w:line="280"/>
      </w:pPr>
      <w:r>
        <w:rPr>
          <w:rFonts w:ascii="Calibri" w:cs="Calibri" w:eastAsia="Calibri" w:hAnsi="Calibri"/>
          <w:color w:val="1A1A1A"/>
          <w:sz w:val="21"/>
          <w:szCs w:val="21"/>
        </w:rPr>
        <w:t xml:space="preserve">5. Wat is het ontwerpprincipe achter elke kolom van het register, gebaseerd op Kernzin 1?</w:t>
      </w:r>
    </w:p>
    <w:p>
      <w:pPr>
        <w:pStyle w:val="ListParagraph"/>
        <w:numPr>
          <w:ilvl w:val="0"/>
          <w:numId w:val="2"/>
        </w:numPr>
        <w:spacing w:after="100" w:line="280"/>
      </w:pPr>
      <w:r>
        <w:rPr>
          <w:rFonts w:ascii="Calibri" w:cs="Calibri" w:eastAsia="Calibri" w:hAnsi="Calibri"/>
          <w:color w:val="1A1A1A"/>
          <w:sz w:val="21"/>
          <w:szCs w:val="21"/>
        </w:rPr>
        <w:t xml:space="preserve">6. Noem de drie oorzaken van registerverwildering uit paragraaf 7.5, en de bijbehorende tegenmaatregel.</w:t>
      </w:r>
    </w:p>
    <w:p>
      <w:pPr>
        <w:pStyle w:val="ListParagraph"/>
        <w:numPr>
          <w:ilvl w:val="0"/>
          <w:numId w:val="2"/>
        </w:numPr>
        <w:spacing w:after="100" w:line="280"/>
      </w:pPr>
      <w:r>
        <w:rPr>
          <w:rFonts w:ascii="Calibri" w:cs="Calibri" w:eastAsia="Calibri" w:hAnsi="Calibri"/>
          <w:color w:val="1A1A1A"/>
          <w:sz w:val="21"/>
          <w:szCs w:val="21"/>
        </w:rPr>
        <w:t xml:space="preserve">7. Waarom is ‘dit is nooit gebeurd’ op zichzelf geen goede reden om een risico te sluiten?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De risico-eigenaar is verantwoordelijk voor het risico als geheel en beslist over de respons; de actiehouder voert één specifieke, afgesproken maatregel uit.</w:t>
      </w:r>
    </w:p>
    <w:p>
      <w:pPr>
        <w:spacing w:after="180" w:line="300"/>
        <w:jc w:val="both"/>
      </w:pPr>
      <w:r>
        <w:rPr>
          <w:rFonts w:ascii="Calibri" w:cs="Calibri" w:eastAsia="Calibri" w:hAnsi="Calibri"/>
          <w:color w:val="1A1A1A"/>
          <w:sz w:val="21"/>
          <w:szCs w:val="21"/>
        </w:rPr>
        <w:t xml:space="preserve">2. Bevoegdheid, overzicht, belang.</w:t>
      </w:r>
    </w:p>
    <w:p>
      <w:pPr>
        <w:spacing w:after="180" w:line="300"/>
        <w:jc w:val="both"/>
      </w:pPr>
      <w:r>
        <w:rPr>
          <w:rFonts w:ascii="Calibri" w:cs="Calibri" w:eastAsia="Calibri" w:hAnsi="Calibri"/>
          <w:color w:val="1A1A1A"/>
          <w:sz w:val="21"/>
          <w:szCs w:val="21"/>
        </w:rPr>
        <w:t xml:space="preserve">3. ID, risicozin, categorie, gekoppelde doelstelling, kans/impact inherent, respons(en), actie(s) en actiehouder(s), risico-eigenaar, kans/impact residueel, secundaire risico's, status, tolerantie/trigger, laatst herzien — acht van deze dertien is voldoende.</w:t>
      </w:r>
    </w:p>
    <w:p>
      <w:pPr>
        <w:spacing w:after="180" w:line="300"/>
        <w:jc w:val="both"/>
      </w:pPr>
      <w:r>
        <w:rPr>
          <w:rFonts w:ascii="Calibri" w:cs="Calibri" w:eastAsia="Calibri" w:hAnsi="Calibri"/>
          <w:color w:val="1A1A1A"/>
          <w:sz w:val="21"/>
          <w:szCs w:val="21"/>
        </w:rPr>
        <w:t xml:space="preserve">4. ‘Laatst herzien’ betekent dat iemand zich inhoudelijk heeft afgevraagd of de oorzaak, respons en score nog kloppen; ‘laatst overgenomen’ betekent alleen dat de gegevens naar een nieuw sjabloon zijn gekopieerd, zonder inhoudelijke toets.</w:t>
      </w:r>
    </w:p>
    <w:p>
      <w:pPr>
        <w:spacing w:after="180" w:line="300"/>
        <w:jc w:val="both"/>
      </w:pPr>
      <w:r>
        <w:rPr>
          <w:rFonts w:ascii="Calibri" w:cs="Calibri" w:eastAsia="Calibri" w:hAnsi="Calibri"/>
          <w:color w:val="1A1A1A"/>
          <w:sz w:val="21"/>
          <w:szCs w:val="21"/>
        </w:rPr>
        <w:t xml:space="preserve">5. Elke kolom moet een besluit mogelijk maken — als een lege kolom niets verandert aan wat iemand kan beslissen, hoort hij er niet in.</w:t>
      </w:r>
    </w:p>
    <w:p>
      <w:pPr>
        <w:spacing w:after="180" w:line="300"/>
        <w:jc w:val="both"/>
      </w:pPr>
      <w:r>
        <w:rPr>
          <w:rFonts w:ascii="Calibri" w:cs="Calibri" w:eastAsia="Calibri" w:hAnsi="Calibri"/>
          <w:color w:val="1A1A1A"/>
          <w:sz w:val="21"/>
          <w:szCs w:val="21"/>
        </w:rPr>
        <w:t xml:space="preserve">6. Zombie-risico's (nooit gesloten uit voorzichtigheid) → sluiten als bewust, onderbouwd besluit. Kopieerregisters (structuur nooit heroverwogen) → periodieke volledige herziening. Eigenaarschap dat niet meebeweegt (personeelswisseling) → actieve maandelijkse bevestiging als signaalfunctie.</w:t>
      </w:r>
    </w:p>
    <w:p>
      <w:pPr>
        <w:spacing w:after="180" w:line="300"/>
        <w:jc w:val="both"/>
      </w:pPr>
      <w:r>
        <w:rPr>
          <w:rFonts w:ascii="Calibri" w:cs="Calibri" w:eastAsia="Calibri" w:hAnsi="Calibri"/>
          <w:color w:val="1A1A1A"/>
          <w:sz w:val="21"/>
          <w:szCs w:val="21"/>
        </w:rPr>
        <w:t xml:space="preserve">7. Omdat het iets zegt over het verleden, niet over of de onderliggende kans of context is veranderd; sluiten zonder die onderbouwing is het spiegelbeeld van negeren — een besluit genomen omdat het risico ongemakkelijk aanvoelt, niet omdat er feitelijk iets is veranderd.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2026-08-16T10:07:00.415Z</dcterms:created>
  <dcterms:modified xsi:type="dcterms:W3CDTF">2026-08-16T10:07:00.416Z</dcterms:modified>
</cp:coreProperties>
</file>

<file path=docProps/custom.xml><?xml version="1.0" encoding="utf-8"?>
<Properties xmlns="http://schemas.openxmlformats.org/officeDocument/2006/custom-properties" xmlns:vt="http://schemas.openxmlformats.org/officeDocument/2006/docPropsVTypes"/>
</file>