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8 — Monitoring, rapportage en escalatie: de grens die er nooit was</w:t>
      </w:r>
    </w:p>
    <w:p>
      <w:pPr>
        <w:spacing w:before="600"/>
        <w:jc w:val="center"/>
      </w:pPr>
      <w:r>
        <w:rPr>
          <w:rFonts w:ascii="Calibri" w:cs="Calibri" w:eastAsia="Calibri" w:hAnsi="Calibri"/>
          <w:b/>
          <w:bCs/>
          <w:color w:val="1B2A4A"/>
          <w:sz w:val="24"/>
          <w:szCs w:val="24"/>
        </w:rPr>
        <w:t xml:space="preserve">Niveau 1 — Fundament</w:t>
      </w:r>
    </w:p>
    <w:p>
      <w:pPr>
        <w:spacing w:before="200"/>
        <w:jc w:val="center"/>
      </w:pPr>
      <w:r>
        <w:rPr>
          <w:rFonts w:ascii="Calibri" w:cs="Calibri" w:eastAsia="Calibri" w:hAnsi="Calibri"/>
          <w:i/>
          <w:iCs/>
          <w:color w:val="D99A3D"/>
          <w:sz w:val="24"/>
          <w:szCs w:val="24"/>
        </w:rPr>
        <w:t xml:space="preserve">Docentenhandleiding</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8 — Docentenhandleiding</w:t>
      </w:r>
    </w:p>
    <w:p>
      <w:pPr>
        <w:pStyle w:val="Heading2"/>
        <w:spacing w:after="160" w:before="360"/>
      </w:pPr>
      <w:r>
        <w:rPr>
          <w:rFonts w:ascii="Calibri" w:cs="Calibri" w:eastAsia="Calibri" w:hAnsi="Calibri"/>
          <w:b/>
          <w:bCs/>
          <w:color w:val="2C5AA0"/>
          <w:sz w:val="26"/>
          <w:szCs w:val="26"/>
        </w:rPr>
        <w:t xml:space="preserve">Positie van dit deel</w:t>
      </w:r>
    </w:p>
    <w:p>
      <w:pPr>
        <w:spacing w:after="180" w:line="300"/>
        <w:jc w:val="both"/>
      </w:pPr>
      <w:r>
        <w:rPr>
          <w:rFonts w:ascii="Calibri" w:cs="Calibri" w:eastAsia="Calibri" w:hAnsi="Calibri"/>
          <w:color w:val="1A1A1A"/>
          <w:sz w:val="21"/>
          <w:szCs w:val="21"/>
        </w:rPr>
        <w:t xml:space="preserve">Dit is het deel dat het vijfde en laatste faalpunt uit deel 1 sluit. Maak dat expliciet aan het begin — het geeft deelnemers een gevoel van afronding en laat zien dat de cursusstructuur zelf een ontworpen geheel is, geen losse verzameling onderwerpen.</w:t>
      </w:r>
    </w:p>
    <w:p>
      <w:pPr>
        <w:spacing w:after="180" w:line="300"/>
        <w:jc w:val="both"/>
      </w:pPr>
      <w:r>
        <w:rPr>
          <w:rFonts w:ascii="Calibri" w:cs="Calibri" w:eastAsia="Calibri" w:hAnsi="Calibri"/>
          <w:color w:val="1A1A1A"/>
          <w:sz w:val="21"/>
          <w:szCs w:val="21"/>
        </w:rPr>
        <w:t xml:space="preserve">De belangrijkste risico bij het doceren van dit deel is dat ‘tolerantie’ en ‘impactschaal’ door elkaar gaan lopen — ze gebruiken dezelfde dimensies (tijd, geld, kwaliteit) en voelen daardoor hetzelfde, terwijl ze een andere functie hebben. Besteed hier expliciete aandacht aan, bij voorkeur met opdracht 8.1 vroeg in het dagdeel.</w:t>
      </w:r>
    </w:p>
    <w:p>
      <w:pPr>
        <w:pStyle w:val="Heading2"/>
        <w:spacing w:after="160" w:before="360"/>
      </w:pPr>
      <w:r>
        <w:rPr>
          <w:rFonts w:ascii="Calibri" w:cs="Calibri" w:eastAsia="Calibri" w:hAnsi="Calibri"/>
          <w:b/>
          <w:bCs/>
          <w:color w:val="2C5AA0"/>
          <w:sz w:val="26"/>
          <w:szCs w:val="26"/>
        </w:rPr>
        <w:t xml:space="preserve">Leerdoelen</w:t>
      </w:r>
    </w:p>
    <w:p>
      <w:pPr>
        <w:pStyle w:val="ListParagraph"/>
        <w:numPr>
          <w:ilvl w:val="0"/>
          <w:numId w:val="2"/>
        </w:numPr>
        <w:spacing w:after="100" w:line="280"/>
      </w:pPr>
      <w:r>
        <w:rPr>
          <w:rFonts w:ascii="Calibri" w:cs="Calibri" w:eastAsia="Calibri" w:hAnsi="Calibri"/>
          <w:color w:val="1A1A1A"/>
          <w:sz w:val="21"/>
          <w:szCs w:val="21"/>
        </w:rPr>
        <w:t xml:space="preserve">het begrip tolerantie toepassen en onderscheiden van een impactschaal;</w:t>
      </w:r>
    </w:p>
    <w:p>
      <w:pPr>
        <w:pStyle w:val="ListParagraph"/>
        <w:numPr>
          <w:ilvl w:val="0"/>
          <w:numId w:val="2"/>
        </w:numPr>
        <w:spacing w:after="100" w:line="280"/>
      </w:pPr>
      <w:r>
        <w:rPr>
          <w:rFonts w:ascii="Calibri" w:cs="Calibri" w:eastAsia="Calibri" w:hAnsi="Calibri"/>
          <w:color w:val="1A1A1A"/>
          <w:sz w:val="21"/>
          <w:szCs w:val="21"/>
        </w:rPr>
        <w:t xml:space="preserve">Kernzin 5 toepassen op de karaktereigenschap-valkuil uit deel 1;</w:t>
      </w:r>
    </w:p>
    <w:p>
      <w:pPr>
        <w:pStyle w:val="ListParagraph"/>
        <w:numPr>
          <w:ilvl w:val="0"/>
          <w:numId w:val="2"/>
        </w:numPr>
        <w:spacing w:after="100" w:line="280"/>
      </w:pPr>
      <w:r>
        <w:rPr>
          <w:rFonts w:ascii="Calibri" w:cs="Calibri" w:eastAsia="Calibri" w:hAnsi="Calibri"/>
          <w:color w:val="1A1A1A"/>
          <w:sz w:val="21"/>
          <w:szCs w:val="21"/>
        </w:rPr>
        <w:t xml:space="preserve">een tolerantie op meerdere dimensies vaststellen, inclusief een tolerantie van nul waar van toepassing;</w:t>
      </w:r>
    </w:p>
    <w:p>
      <w:pPr>
        <w:pStyle w:val="ListParagraph"/>
        <w:numPr>
          <w:ilvl w:val="0"/>
          <w:numId w:val="2"/>
        </w:numPr>
        <w:spacing w:after="100" w:line="280"/>
      </w:pPr>
      <w:r>
        <w:rPr>
          <w:rFonts w:ascii="Calibri" w:cs="Calibri" w:eastAsia="Calibri" w:hAnsi="Calibri"/>
          <w:color w:val="1A1A1A"/>
          <w:sz w:val="21"/>
          <w:szCs w:val="21"/>
        </w:rPr>
        <w:t xml:space="preserve">de drie monitoringvragen toepassen op een gegeven risico;</w:t>
      </w:r>
    </w:p>
    <w:p>
      <w:pPr>
        <w:pStyle w:val="ListParagraph"/>
        <w:numPr>
          <w:ilvl w:val="0"/>
          <w:numId w:val="2"/>
        </w:numPr>
        <w:spacing w:after="100" w:line="280"/>
      </w:pPr>
      <w:r>
        <w:rPr>
          <w:rFonts w:ascii="Calibri" w:cs="Calibri" w:eastAsia="Calibri" w:hAnsi="Calibri"/>
          <w:color w:val="1A1A1A"/>
          <w:sz w:val="21"/>
          <w:szCs w:val="21"/>
        </w:rPr>
        <w:t xml:space="preserve">een KRI ontwerpen en onderscheiden van een KPI en van een uitkomstmelding;</w:t>
      </w:r>
    </w:p>
    <w:p>
      <w:pPr>
        <w:pStyle w:val="ListParagraph"/>
        <w:numPr>
          <w:ilvl w:val="0"/>
          <w:numId w:val="2"/>
        </w:numPr>
        <w:spacing w:after="100" w:line="280"/>
      </w:pPr>
      <w:r>
        <w:rPr>
          <w:rFonts w:ascii="Calibri" w:cs="Calibri" w:eastAsia="Calibri" w:hAnsi="Calibri"/>
          <w:color w:val="1A1A1A"/>
          <w:sz w:val="21"/>
          <w:szCs w:val="21"/>
        </w:rPr>
        <w:t xml:space="preserve">de escalatieladder toepassen en een risico correct vertalen naar het perspectief van elk niveau.</w:t>
      </w:r>
    </w:p>
    <w:p>
      <w:pPr>
        <w:pStyle w:val="Heading2"/>
        <w:spacing w:after="160" w:before="360"/>
      </w:pPr>
      <w:r>
        <w:rPr>
          <w:rFonts w:ascii="Calibri" w:cs="Calibri" w:eastAsia="Calibri" w:hAnsi="Calibri"/>
          <w:b/>
          <w:bCs/>
          <w:color w:val="2C5AA0"/>
          <w:sz w:val="26"/>
          <w:szCs w:val="26"/>
        </w:rPr>
        <w:t xml:space="preserve">Tijdsindeling (één dagdeel, 3 uur 30)</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1683"/>
        <w:gridCol w:w="3927"/>
        <w:gridCol w:w="3740"/>
      </w:tblGrid>
      <w:tr>
        <w:trPr>
          <w:tblHeader/>
        </w:trPr>
        <w:tc>
          <w:tcPr>
            <w:tcW w:type="pct" w:w="18%"/>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Tijd</w:t>
            </w:r>
          </w:p>
        </w:tc>
        <w:tc>
          <w:tcPr>
            <w:tcW w:type="pct" w:w="42%"/>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Onderdeel</w:t>
            </w:r>
          </w:p>
        </w:tc>
        <w:tc>
          <w:tcPr>
            <w:tcW w:type="pct" w:w="40%"/>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Vorm</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0:00–0:15</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Terugblik, het laatste faalpunt</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Vertelling, slides 3–5</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0:15–0:40</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Wat een tolerantie is, Kernzin 5</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6–9</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0:40–1:00</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Toleranties op meerdere dimensies, tolerantie nul</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10–12, opdracht 8.1 plenair</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1:00–1:15</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1:15–1:35</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Monitoring: drie vragen</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13–14</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1:35–2:05</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KRI's, het verschil met KPI's</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15–19, opdracht 8.2 in tweetallen</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2:05–2:20</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2:20–2:50</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De escalatieladder en vertaling naar perspectief</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20–23, opdracht 8.4 in groepjes van drie</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2:50–3:10</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Rapportage kort, de dashboardvalkuil</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24–25</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3:10–3:25</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Sanne's escalatiedocument, terugblik op vijf faalpunten</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26–27</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3:25–3:30</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Vooruitblik deel 9</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 28</w:t>
            </w:r>
          </w:p>
        </w:tc>
      </w:tr>
    </w:tbl>
    <w:p>
      <w:pPr>
        <w:spacing w:after="180" w:line="300"/>
        <w:jc w:val="both"/>
      </w:pPr>
      <w:r>
        <w:rPr>
          <w:rFonts w:ascii="Calibri" w:cs="Calibri" w:eastAsia="Calibri" w:hAnsi="Calibri"/>
          <w:color w:val="1A1A1A"/>
          <w:sz w:val="21"/>
          <w:szCs w:val="21"/>
        </w:rPr>
        <w:t xml:space="preserve">Huiswerk voor deel 9: opdracht 8.3, volledig uitgewerkt tolerantiedocument bij het eigen context- en criteriadocument.</w:t>
      </w:r>
    </w:p>
    <w:p>
      <w:pPr>
        <w:pStyle w:val="Heading2"/>
        <w:spacing w:after="160" w:before="360"/>
      </w:pPr>
      <w:r>
        <w:rPr>
          <w:rFonts w:ascii="Calibri" w:cs="Calibri" w:eastAsia="Calibri" w:hAnsi="Calibri"/>
          <w:b/>
          <w:bCs/>
          <w:color w:val="2C5AA0"/>
          <w:sz w:val="26"/>
          <w:szCs w:val="26"/>
        </w:rPr>
        <w:t xml:space="preserve">Valkuilen bij de uitleg</w:t>
      </w:r>
    </w:p>
    <w:p>
      <w:pPr>
        <w:pStyle w:val="ListParagraph"/>
        <w:numPr>
          <w:ilvl w:val="0"/>
          <w:numId w:val="2"/>
        </w:numPr>
        <w:spacing w:after="100" w:line="280"/>
      </w:pPr>
      <w:r>
        <w:rPr>
          <w:rFonts w:ascii="Calibri" w:cs="Calibri" w:eastAsia="Calibri" w:hAnsi="Calibri"/>
          <w:color w:val="1A1A1A"/>
          <w:sz w:val="21"/>
          <w:szCs w:val="21"/>
        </w:rPr>
        <w:t xml:space="preserve">Tolerantie en impactschaal laten samensmelten. Zie hierboven — dit is de belangrijkste valkuil van het hele deel. Gebruik zo nodig een expliciete zin: ‘de impactschaal zegt hoe erg iets is als het gebeurt; de tolerantie zegt wanneer je verplicht bent het te melden.’</w:t>
      </w:r>
    </w:p>
    <w:p>
      <w:pPr>
        <w:pStyle w:val="ListParagraph"/>
        <w:numPr>
          <w:ilvl w:val="0"/>
          <w:numId w:val="2"/>
        </w:numPr>
        <w:spacing w:after="100" w:line="280"/>
      </w:pPr>
      <w:r>
        <w:rPr>
          <w:rFonts w:ascii="Calibri" w:cs="Calibri" w:eastAsia="Calibri" w:hAnsi="Calibri"/>
          <w:color w:val="1A1A1A"/>
          <w:sz w:val="21"/>
          <w:szCs w:val="21"/>
        </w:rPr>
        <w:t xml:space="preserve">KRI's te ingewikkeld maken. Deelnemers hebben de neiging samengestelde, complexe indicatoren te bedenken. Benadruk de derde eigenschap — meetbaar zonder interpretatieruimte — en laat zien dat de beste KRI's vaak eenvoudig te tellen zijn (aantal, weken sinds, percentage), niet een samengestelde formule.</w:t>
      </w:r>
    </w:p>
    <w:p>
      <w:pPr>
        <w:pStyle w:val="ListParagraph"/>
        <w:numPr>
          <w:ilvl w:val="0"/>
          <w:numId w:val="2"/>
        </w:numPr>
        <w:spacing w:after="100" w:line="280"/>
      </w:pPr>
      <w:r>
        <w:rPr>
          <w:rFonts w:ascii="Calibri" w:cs="Calibri" w:eastAsia="Calibri" w:hAnsi="Calibri"/>
          <w:color w:val="1A1A1A"/>
          <w:sz w:val="21"/>
          <w:szCs w:val="21"/>
        </w:rPr>
        <w:t xml:space="preserve">De escalatieladder als bureaucratische hiërarchie laten voelen. De functie is niet ‘iedereen moet zijn baas informeren’, de functie is dat elk niveau een ander soort besluit kan nemen. Gebruik opdracht 8.4 om te laten zien dat vertaling, niet alleen doorgeven, de kern van escaleren is.</w:t>
      </w:r>
    </w:p>
    <w:p>
      <w:pPr>
        <w:pStyle w:val="ListParagraph"/>
        <w:numPr>
          <w:ilvl w:val="0"/>
          <w:numId w:val="2"/>
        </w:numPr>
        <w:spacing w:after="100" w:line="280"/>
      </w:pPr>
      <w:r>
        <w:rPr>
          <w:rFonts w:ascii="Calibri" w:cs="Calibri" w:eastAsia="Calibri" w:hAnsi="Calibri"/>
          <w:color w:val="1A1A1A"/>
          <w:sz w:val="21"/>
          <w:szCs w:val="21"/>
        </w:rPr>
        <w:t xml:space="preserve">De rapportageparagraaf (8.6) te uitgebreid behandelen. Dit is bewust kort gehouden in de reader, als vooruitblik op deel 19 in niveau 2. Laat het ook in het dagdeel kort — een paar minuten, geen apart blok.</w:t>
      </w:r>
    </w:p>
    <w:p>
      <w:pPr>
        <w:pStyle w:val="Heading2"/>
        <w:spacing w:after="160" w:before="360"/>
      </w:pPr>
      <w:r>
        <w:rPr>
          <w:rFonts w:ascii="Calibri" w:cs="Calibri" w:eastAsia="Calibri" w:hAnsi="Calibri"/>
          <w:b/>
          <w:bCs/>
          <w:color w:val="2C5AA0"/>
          <w:sz w:val="26"/>
          <w:szCs w:val="26"/>
        </w:rPr>
        <w:t xml:space="preserve">Bij welke groep werkt dit hoe</w:t>
      </w:r>
    </w:p>
    <w:p>
      <w:pPr>
        <w:spacing w:after="180" w:line="300"/>
        <w:jc w:val="both"/>
      </w:pPr>
      <w:r>
        <w:rPr>
          <w:rFonts w:ascii="Calibri" w:cs="Calibri" w:eastAsia="Calibri" w:hAnsi="Calibri"/>
          <w:b/>
          <w:bCs/>
          <w:color w:val="1B2A4A"/>
          <w:sz w:val="21"/>
          <w:szCs w:val="21"/>
        </w:rPr>
        <w:t xml:space="preserve">Deelnemers met ervaring in operationele functies (bijvoorbeeld servicemanagement, IT-operations).</w:t>
      </w:r>
      <w:r>
        <w:rPr>
          <w:rFonts w:ascii="Calibri" w:cs="Calibri" w:eastAsia="Calibri" w:hAnsi="Calibri"/>
          <w:color w:val="1A1A1A"/>
          <w:sz w:val="21"/>
          <w:szCs w:val="21"/>
        </w:rPr>
        <w:t xml:space="preserve"> Zijn vaak al vertrouwd met het onderscheid tussen leidende en volgende indicatoren, zij het onder andere namen (bijvoorbeeld ‘proactief versus reactief monitoren’). Gebruik hun ervaring om opdracht 8.2 sneller te laten verlopen en dieper door te vragen.</w:t>
      </w:r>
    </w:p>
    <w:p>
      <w:pPr>
        <w:spacing w:after="180" w:line="300"/>
        <w:jc w:val="both"/>
      </w:pPr>
      <w:r>
        <w:rPr>
          <w:rFonts w:ascii="Calibri" w:cs="Calibri" w:eastAsia="Calibri" w:hAnsi="Calibri"/>
          <w:b/>
          <w:bCs/>
          <w:color w:val="1B2A4A"/>
          <w:sz w:val="21"/>
          <w:szCs w:val="21"/>
        </w:rPr>
        <w:t xml:space="preserve">Projectmanagers.</w:t>
      </w:r>
      <w:r>
        <w:rPr>
          <w:rFonts w:ascii="Calibri" w:cs="Calibri" w:eastAsia="Calibri" w:hAnsi="Calibri"/>
          <w:color w:val="1A1A1A"/>
          <w:sz w:val="21"/>
          <w:szCs w:val="21"/>
        </w:rPr>
        <w:t xml:space="preserve"> Kennen toleranties vaak al uit hun eigen methodiek (bijvoorbeeld tijd- en geldtoleranties), maar minder vaak kwaliteitstoleranties met waarde nul. Besteed extra aandacht aan het idee dat een tolerantie ook ‘geen enkele afwijking’ mag zijn — dat voelt voor sommigen contra-intuïtief bij een instrument dat ‘bandbreedte’ heet.</w:t>
      </w:r>
    </w:p>
    <w:p>
      <w:pPr>
        <w:spacing w:after="180" w:line="300"/>
        <w:jc w:val="both"/>
      </w:pPr>
      <w:r>
        <w:rPr>
          <w:rFonts w:ascii="Calibri" w:cs="Calibri" w:eastAsia="Calibri" w:hAnsi="Calibri"/>
          <w:b/>
          <w:bCs/>
          <w:color w:val="1B2A4A"/>
          <w:sz w:val="21"/>
          <w:szCs w:val="21"/>
        </w:rPr>
        <w:t xml:space="preserve">Deelnemers uit een sterk hiërarchische organisatie.</w:t>
      </w:r>
      <w:r>
        <w:rPr>
          <w:rFonts w:ascii="Calibri" w:cs="Calibri" w:eastAsia="Calibri" w:hAnsi="Calibri"/>
          <w:color w:val="1A1A1A"/>
          <w:sz w:val="21"/>
          <w:szCs w:val="21"/>
        </w:rPr>
        <w:t xml:space="preserve"> Herkennen de escalatieladder snel als structuur, maar onderschatten soms het vertaalaspect — zij zijn gewend dat ‘naar boven melden’ volstaat. Opdracht 8.4 is voor deze groep het belangrijkste onderdeel van het dagdeel.</w:t>
      </w:r>
    </w:p>
    <w:p>
      <w:pPr>
        <w:pStyle w:val="Heading2"/>
        <w:spacing w:after="160" w:before="360"/>
      </w:pPr>
      <w:r>
        <w:rPr>
          <w:rFonts w:ascii="Calibri" w:cs="Calibri" w:eastAsia="Calibri" w:hAnsi="Calibri"/>
          <w:b/>
          <w:bCs/>
          <w:color w:val="2C5AA0"/>
          <w:sz w:val="26"/>
          <w:szCs w:val="26"/>
        </w:rPr>
        <w:t xml:space="preserve">Discussievragen</w:t>
      </w:r>
    </w:p>
    <w:p>
      <w:pPr>
        <w:pStyle w:val="ListParagraph"/>
        <w:numPr>
          <w:ilvl w:val="0"/>
          <w:numId w:val="2"/>
        </w:numPr>
        <w:spacing w:after="100" w:line="280"/>
      </w:pPr>
      <w:r>
        <w:rPr>
          <w:rFonts w:ascii="Calibri" w:cs="Calibri" w:eastAsia="Calibri" w:hAnsi="Calibri"/>
          <w:color w:val="1A1A1A"/>
          <w:sz w:val="21"/>
          <w:szCs w:val="21"/>
        </w:rPr>
        <w:t xml:space="preserve">Is er in jouw organisatie een tolerantie die eigenlijk nul zou moeten zijn, maar op dit moment niet expliciet als zodanig is vastgelegd?</w:t>
      </w:r>
    </w:p>
    <w:p>
      <w:pPr>
        <w:pStyle w:val="ListParagraph"/>
        <w:numPr>
          <w:ilvl w:val="0"/>
          <w:numId w:val="2"/>
        </w:numPr>
        <w:spacing w:after="100" w:line="280"/>
      </w:pPr>
      <w:r>
        <w:rPr>
          <w:rFonts w:ascii="Calibri" w:cs="Calibri" w:eastAsia="Calibri" w:hAnsi="Calibri"/>
          <w:color w:val="1A1A1A"/>
          <w:sz w:val="21"/>
          <w:szCs w:val="21"/>
        </w:rPr>
        <w:t xml:space="preserve">Welke KPI in jouw organisatie wordt soms ten onrechte gebruikt alsof het een KRI is?</w:t>
      </w:r>
    </w:p>
    <w:p>
      <w:pPr>
        <w:pStyle w:val="ListParagraph"/>
        <w:numPr>
          <w:ilvl w:val="0"/>
          <w:numId w:val="2"/>
        </w:numPr>
        <w:spacing w:after="100" w:line="280"/>
      </w:pPr>
      <w:r>
        <w:rPr>
          <w:rFonts w:ascii="Calibri" w:cs="Calibri" w:eastAsia="Calibri" w:hAnsi="Calibri"/>
          <w:color w:val="1A1A1A"/>
          <w:sz w:val="21"/>
          <w:szCs w:val="21"/>
        </w:rPr>
        <w:t xml:space="preserve">Denk aan de laatste keer dat een risico in jouw organisatie werd geëscaleerd. Werd het vertaald naar het perspectief van de ontvanger, of werd dezelfde boodschap gewoon luider herhaald?</w:t>
      </w:r>
    </w:p>
    <w:p>
      <w:pPr>
        <w:pStyle w:val="Heading2"/>
        <w:spacing w:after="160" w:before="360"/>
      </w:pPr>
      <w:r>
        <w:rPr>
          <w:rFonts w:ascii="Calibri" w:cs="Calibri" w:eastAsia="Calibri" w:hAnsi="Calibri"/>
          <w:b/>
          <w:bCs/>
          <w:color w:val="2C5AA0"/>
          <w:sz w:val="26"/>
          <w:szCs w:val="26"/>
        </w:rPr>
        <w:t xml:space="preserve">Antwoordmodel voor de moeilijkste bespreking (opdracht 8.4, vertaling)</w:t>
      </w:r>
    </w:p>
    <w:p>
      <w:pPr>
        <w:spacing w:after="180" w:line="300"/>
        <w:jc w:val="both"/>
      </w:pPr>
      <w:r>
        <w:rPr>
          <w:rFonts w:ascii="Calibri" w:cs="Calibri" w:eastAsia="Calibri" w:hAnsi="Calibri"/>
          <w:color w:val="1A1A1A"/>
          <w:sz w:val="21"/>
          <w:szCs w:val="21"/>
        </w:rPr>
        <w:t xml:space="preserve">Deelnemers formuleren de directieboodschap in eerste instantie vaak nog te technisch — bijvoorbeeld ‘de testomgeving heeft twee weken vertraging opgelopen door een capaciteitsconflict.’ Laat de groep zelf ontdekken waarom dat niet werkt door te vragen: wat kan de directie hiermee, gegeven dat zij niet over projectplanning gaat maar wel over de relatie met de toezichthouder? De directie heeft geen boodschap aan capaciteitsconflicten; zij heeft een boodschap aan de vraag of een wettelijke verplichting in gevaar komt en welke bestuurlijke keuze daarvoor nodig is. Dit is dezelfde denkbeweging als het onderscheid tussen M_o_R's perspectieven uit deel 2 (opdracht 2.3): één feit, meerdere geldige framingen, elk passend bij een ander niveau.</w:t>
      </w:r>
    </w:p>
    <w:p>
      <w:pPr>
        <w:pStyle w:val="Heading2"/>
        <w:spacing w:after="160" w:before="360"/>
      </w:pPr>
      <w:r>
        <w:rPr>
          <w:rFonts w:ascii="Calibri" w:cs="Calibri" w:eastAsia="Calibri" w:hAnsi="Calibri"/>
          <w:b/>
          <w:bCs/>
          <w:color w:val="2C5AA0"/>
          <w:sz w:val="26"/>
          <w:szCs w:val="26"/>
        </w:rPr>
        <w:t xml:space="preserve">Materiaal</w:t>
      </w:r>
    </w:p>
    <w:p>
      <w:pPr>
        <w:pStyle w:val="ListParagraph"/>
        <w:numPr>
          <w:ilvl w:val="0"/>
          <w:numId w:val="2"/>
        </w:numPr>
        <w:spacing w:after="100" w:line="280"/>
      </w:pPr>
      <w:r>
        <w:rPr>
          <w:rFonts w:ascii="Calibri" w:cs="Calibri" w:eastAsia="Calibri" w:hAnsi="Calibri"/>
          <w:color w:val="1A1A1A"/>
          <w:sz w:val="21"/>
          <w:szCs w:val="21"/>
        </w:rPr>
        <w:t xml:space="preserve">Een tijdlijnschets (of het figuur uit de reader) van een oplopende KRI die een tolerantiegrens raakt, voor de uitleg in paragraaf 8.4 van de reader.</w:t>
      </w:r>
    </w:p>
    <w:p>
      <w:pPr>
        <w:pStyle w:val="ListParagraph"/>
        <w:numPr>
          <w:ilvl w:val="0"/>
          <w:numId w:val="2"/>
        </w:numPr>
        <w:spacing w:after="100" w:line="280"/>
      </w:pPr>
      <w:r>
        <w:rPr>
          <w:rFonts w:ascii="Calibri" w:cs="Calibri" w:eastAsia="Calibri" w:hAnsi="Calibri"/>
          <w:color w:val="1A1A1A"/>
          <w:sz w:val="21"/>
          <w:szCs w:val="21"/>
        </w:rPr>
        <w:t xml:space="preserve">Kaartjes met de vier niveaus van de escalatieladder, te gebruiken bij opdracht 8.4 om fysiek de vertaalslag per niveau te visualiseren.</w:t>
      </w:r>
    </w:p>
    <w:p>
      <w:pPr>
        <w:pStyle w:val="Heading2"/>
        <w:spacing w:after="160" w:before="360"/>
      </w:pPr>
      <w:r>
        <w:rPr>
          <w:rFonts w:ascii="Calibri" w:cs="Calibri" w:eastAsia="Calibri" w:hAnsi="Calibri"/>
          <w:b/>
          <w:bCs/>
          <w:color w:val="2C5AA0"/>
          <w:sz w:val="26"/>
          <w:szCs w:val="26"/>
        </w:rPr>
        <w:t xml:space="preserve">Aansluiting op deel 9</w:t>
      </w:r>
    </w:p>
    <w:p>
      <w:pPr>
        <w:spacing w:after="180" w:line="300"/>
        <w:jc w:val="both"/>
      </w:pPr>
      <w:r>
        <w:rPr>
          <w:rFonts w:ascii="Calibri" w:cs="Calibri" w:eastAsia="Calibri" w:hAnsi="Calibri"/>
          <w:color w:val="1A1A1A"/>
          <w:sz w:val="21"/>
          <w:szCs w:val="21"/>
        </w:rPr>
        <w:t xml:space="preserve">Sluit af met: alle vijf faalpunten van het oude WGP 2.0-register zijn nu opgelost, voor dit ene project. De vraag van deel 9 is groter: wie draagt dit structureel, voor de hele organisatie, niet alleen voor deze ene herstart — en hoe verhoudt Sanne's nieuwe functie zich tot compliance en interne audit, die er ook al waren?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2026-08-16T10:12:13.995Z</dcterms:created>
  <dcterms:modified xsi:type="dcterms:W3CDTF">2026-08-16T10:12:13.996Z</dcterms:modified>
</cp:coreProperties>
</file>

<file path=docProps/custom.xml><?xml version="1.0" encoding="utf-8"?>
<Properties xmlns="http://schemas.openxmlformats.org/officeDocument/2006/custom-properties" xmlns:vt="http://schemas.openxmlformats.org/officeDocument/2006/docPropsVTypes"/>
</file>