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8 — Monitoring, rapportage en escalatie: de grens die er nooit was</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8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8.1 — Tolerantie of impactschaal?</w:t>
      </w:r>
    </w:p>
    <w:p>
      <w:pPr>
        <w:spacing w:after="180" w:line="300"/>
        <w:jc w:val="both"/>
      </w:pPr>
      <w:r>
        <w:rPr>
          <w:rFonts w:ascii="Calibri" w:cs="Calibri" w:eastAsia="Calibri" w:hAnsi="Calibri"/>
          <w:color w:val="1A1A1A"/>
          <w:sz w:val="21"/>
          <w:szCs w:val="21"/>
        </w:rPr>
        <w:t xml:space="preserve">Voor elk van de volgende uitspraken: is dit een tolerantie of een impactschaal-omschrijving (zie deel 3)? Wat is het verschil in functie?</w:t>
      </w:r>
    </w:p>
    <w:p>
      <w:pPr>
        <w:spacing w:after="180" w:line="300"/>
        <w:jc w:val="both"/>
      </w:pPr>
      <w:r>
        <w:rPr>
          <w:rFonts w:ascii="Calibri" w:cs="Calibri" w:eastAsia="Calibri" w:hAnsi="Calibri"/>
          <w:color w:val="1A1A1A"/>
          <w:sz w:val="21"/>
          <w:szCs w:val="21"/>
        </w:rPr>
        <w:t xml:space="preserve">a) “Meer dan 3 maanden vertraging of go-live in gevaar: impactscore 5.”</w:t>
      </w:r>
    </w:p>
    <w:p>
      <w:pPr>
        <w:spacing w:after="180" w:line="300"/>
        <w:jc w:val="both"/>
      </w:pPr>
      <w:r>
        <w:rPr>
          <w:rFonts w:ascii="Calibri" w:cs="Calibri" w:eastAsia="Calibri" w:hAnsi="Calibri"/>
          <w:color w:val="1A1A1A"/>
          <w:sz w:val="21"/>
          <w:szCs w:val="21"/>
        </w:rPr>
        <w:t xml:space="preserve">b) “Tot twee weken uitloop: geen escalatie. Meer: melden aan stuurgroep binnen 48 uur.”</w:t>
      </w:r>
    </w:p>
    <w:p>
      <w:pPr>
        <w:spacing w:after="180" w:line="300"/>
        <w:jc w:val="both"/>
      </w:pPr>
      <w:r>
        <w:rPr>
          <w:rFonts w:ascii="Calibri" w:cs="Calibri" w:eastAsia="Calibri" w:hAnsi="Calibri"/>
          <w:color w:val="1A1A1A"/>
          <w:sz w:val="21"/>
          <w:szCs w:val="21"/>
        </w:rPr>
        <w:t xml:space="preserve">c) “Elke afwijking die de juistheid van deelnemersgegevens raakt: altijd melden.”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Impactschaal. Beschrijft hoe erg een gevolg is, gebruikt bij het scoren van een risico (deel 5).
b) Tolerantie. Beschrijft wanneer escalatie verplicht is, los van de score van een specifiek risico — het gaat over een grens op de doelstelling zelf.
c) Tolerantie, met bandbreedte nul. Elke afwijking wordt gemeld; er is geen ruimte die zonder melding acceptabel is.
Wat je hier moet meenemen: een impactschaal beoordeelt een risico vóóraf (bij scoren); een tolerantie bepaalt wanneer de werkelijkheid, ná optreden of tijdens uitvoering, een verplichte melding vereist. Beide gebruiken vaak dezelfde dimensies (tijd, geld, kwaliteit), maar beantwoorden een andere vraag.</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8.2 — KRI of KPI?</w:t>
      </w:r>
    </w:p>
    <w:p>
      <w:pPr>
        <w:spacing w:after="180" w:line="300"/>
        <w:jc w:val="both"/>
      </w:pPr>
      <w:r>
        <w:rPr>
          <w:rFonts w:ascii="Calibri" w:cs="Calibri" w:eastAsia="Calibri" w:hAnsi="Calibri"/>
          <w:color w:val="1A1A1A"/>
          <w:sz w:val="21"/>
          <w:szCs w:val="21"/>
        </w:rPr>
        <w:t xml:space="preserve">Bepaal voor elk van de volgende indicatoren of het een KRI, een KPI, of geen van beide is. Onderbouw.</w:t>
      </w:r>
    </w:p>
    <w:p>
      <w:pPr>
        <w:spacing w:after="180" w:line="300"/>
        <w:jc w:val="both"/>
      </w:pPr>
      <w:r>
        <w:rPr>
          <w:rFonts w:ascii="Calibri" w:cs="Calibri" w:eastAsia="Calibri" w:hAnsi="Calibri"/>
          <w:color w:val="1A1A1A"/>
          <w:sz w:val="21"/>
          <w:szCs w:val="21"/>
        </w:rPr>
        <w:t xml:space="preserve">a) “Percentage opgeleverde user stories per sprint.”</w:t>
      </w:r>
    </w:p>
    <w:p>
      <w:pPr>
        <w:spacing w:after="180" w:line="300"/>
        <w:jc w:val="both"/>
      </w:pPr>
      <w:r>
        <w:rPr>
          <w:rFonts w:ascii="Calibri" w:cs="Calibri" w:eastAsia="Calibri" w:hAnsi="Calibri"/>
          <w:color w:val="1A1A1A"/>
          <w:sz w:val="21"/>
          <w:szCs w:val="21"/>
        </w:rPr>
        <w:t xml:space="preserve">b) “Aantal openstaande, onbeantwoorde wijzigingsverzoeken bij de conversieleverancier.”</w:t>
      </w:r>
    </w:p>
    <w:p>
      <w:pPr>
        <w:spacing w:after="180" w:line="300"/>
        <w:jc w:val="both"/>
      </w:pPr>
      <w:r>
        <w:rPr>
          <w:rFonts w:ascii="Calibri" w:cs="Calibri" w:eastAsia="Calibri" w:hAnsi="Calibri"/>
          <w:color w:val="1A1A1A"/>
          <w:sz w:val="21"/>
          <w:szCs w:val="21"/>
        </w:rPr>
        <w:t xml:space="preserve">c) “Klanttevredenheidsscore van de laatste kwartaalmeting.”</w:t>
      </w:r>
    </w:p>
    <w:p>
      <w:pPr>
        <w:spacing w:after="180" w:line="300"/>
        <w:jc w:val="both"/>
      </w:pPr>
      <w:r>
        <w:rPr>
          <w:rFonts w:ascii="Calibri" w:cs="Calibri" w:eastAsia="Calibri" w:hAnsi="Calibri"/>
          <w:color w:val="1A1A1A"/>
          <w:sz w:val="21"/>
          <w:szCs w:val="21"/>
        </w:rPr>
        <w:t xml:space="preserve">d) “Aantal weken sinds de laatste kennisoverdrachtssessie tussen de enige kenner en zijn back-up.”</w:t>
      </w:r>
    </w:p>
    <w:p>
      <w:pPr>
        <w:spacing w:after="180" w:line="300"/>
        <w:jc w:val="both"/>
      </w:pPr>
      <w:r>
        <w:rPr>
          <w:rFonts w:ascii="Calibri" w:cs="Calibri" w:eastAsia="Calibri" w:hAnsi="Calibri"/>
          <w:color w:val="1A1A1A"/>
          <w:sz w:val="21"/>
          <w:szCs w:val="21"/>
        </w:rPr>
        <w:t xml:space="preserve">e) “Totale projectkosten tot nu toe.”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KPI. Meet prestatie (hoeveel werk is gedaan), geen blootstelling aan een specifiek risico.
b) KRI. Leidt vooruit op het leveranciersafhankelijkheidsrisico — een oplopend aantal is een vroeg signaal, geen uitkomst.
c) Geen van beide, in de gegeven vorm. Een kwartaalmeting is te traag en te algemeen om leidend te zijn voor een specifiek risico, en het is ook geen directe prestatiemeting van het huidige project. Het zou een KRI kúnnen worden als hij aan een specifiek risico (bijvoorbeeld reputatieschade) wordt gekoppeld én vaker wordt gemeten.
d) KRI. Exact het voorbeeld uit de reader — leidend, direct gekoppeld aan het sleutelkennisrisico, meetbaar zonder interpretatieruimte.
e) Geen van beide op zichzelf — het is een neutraal feit. Het wordt pas een KRI (of trigger) als het wordt afgezet tegen een tolerantie (‘tot €50.000: geen escalatie’).
Discussiepunt bij c: dit voorbeeld laat zien dat niet elke meting automatisch een KRI is. De drie kenmerken uit de reader (leidend, direct gekoppeld aan één risico, meetbaar zonder interpretatieruimte) zijn een toets, geen automatisme.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8.3 — Ontwerp een tolerantiedocument</w:t>
      </w:r>
    </w:p>
    <w:p>
      <w:pPr>
        <w:spacing w:after="180" w:line="300"/>
        <w:jc w:val="both"/>
      </w:pPr>
      <w:r>
        <w:rPr>
          <w:rFonts w:ascii="Calibri" w:cs="Calibri" w:eastAsia="Calibri" w:hAnsi="Calibri"/>
          <w:color w:val="1A1A1A"/>
          <w:sz w:val="21"/>
          <w:szCs w:val="21"/>
        </w:rPr>
        <w:t xml:space="preserve">Neem het context- en criteriadocument dat je in opdracht 3.5 hebt geschreven. Voeg er nu een kort tolerantiedocument aan toe: minimaal drie dimensies (bijvoorbeeld tijd, geld, kwaliteit), met voor elke dimensie een concrete bandbreedte of, waar toepasselijk, een tolerantie van nul met onderbouwing.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 op eigen materiaal. Controleer bij nakijken: is elke tolerantie een concreet getal, datum of bedrag — geen ‘aanzienlijke afwijking’ zonder drempel (dezelfde eis als bij de impactschaal in deel 3)?
Is er minstens één dimensie met tolerantie nul, mét onderbouwing waarom? Zo niet, vraag door: is er werkelijk geen enkele doelstelling in dit project waarvoor elke afwijking gemeld zou moeten worden?
Is de tolerantie te onderscheiden van de impactschaal die al in opdracht 3.4 is opgesteld? Deelnemers verwarren deze twee vaak in eerste instantie (zie opdracht 8.1).</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8.4 — De escalatieladder toepassen</w:t>
      </w:r>
    </w:p>
    <w:p>
      <w:pPr>
        <w:spacing w:after="180" w:line="300"/>
        <w:jc w:val="both"/>
      </w:pPr>
      <w:r>
        <w:rPr>
          <w:rFonts w:ascii="Calibri" w:cs="Calibri" w:eastAsia="Calibri" w:hAnsi="Calibri"/>
          <w:color w:val="1A1A1A"/>
          <w:sz w:val="21"/>
          <w:szCs w:val="21"/>
        </w:rPr>
        <w:t xml:space="preserve">Een risico op projectniveau (‘de testomgeving is niet op tijd beschikbaar’) escaleert naar de stuurgroep, en van daar naar de directie, omdat de vertraging inmiddels de wettelijke opleverdatum van een DNB-rapportage in gevaar brengt. Beschrijf in twee tot drie zinnen hoe de vertaling van dit risico eruit zou moeten zien op elk van de drie niveaus (project, stuurgroep, directie), gebruikmakend van het perspectievenmodel uit deel 2.</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Projectniveau (projectperspectief): ‘De testomgeving is niet beschikbaar door een capaciteitsconflict met een ander project; we verwachten twee weken vertraging in de testfase.’
Stuurgroepniveau (programma-/portfolioperspectief): ‘De vertraging in dit project raakt de gezamenlijke planning van het Mutatieplatform-programma; er moet worden afgewogen of capaciteit van een ander project tijdelijk wordt vrijgemaakt, of dat de wettelijke rapportagedatum in gevaar komt.’
Directieniveau (strategisch/extern perspectief): ‘Er is een risico dat een wettelijk verplichte DNB-rapportage niet op tijd wordt ingediend; dit vereist een bestuurlijke afweging over prioritering tussen projecten en, indien nodig, tijdige communicatie met de toezichthouder.’
Wat je hier moet meenemen: hetzelfde onderliggende feit (testomgeving niet beschikbaar) wordt op elk niveau vertaald naar de vraag die op dát niveau relevant is. Een directie die de projectdetails over testomgevingcapaciteit te horen krijgt in plaats van de toezichtvraag, kan niet het juiste besluit nemen — en andersom is een projectteam niet gebaat bij een abstracte bestuurlijke framing als het juist een concreet capaciteitsprobleem moet oplossen.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8</w:t>
      </w:r>
    </w:p>
    <w:p>
      <w:pPr>
        <w:pStyle w:val="ListParagraph"/>
        <w:numPr>
          <w:ilvl w:val="0"/>
          <w:numId w:val="2"/>
        </w:numPr>
        <w:spacing w:after="100" w:line="280"/>
      </w:pPr>
      <w:r>
        <w:rPr>
          <w:rFonts w:ascii="Calibri" w:cs="Calibri" w:eastAsia="Calibri" w:hAnsi="Calibri"/>
          <w:color w:val="1A1A1A"/>
          <w:sz w:val="21"/>
          <w:szCs w:val="21"/>
        </w:rPr>
        <w:t xml:space="preserve">1. Welk van de vijf faalpunten uit deel 1 wordt in dit deel gesloten?</w:t>
      </w:r>
    </w:p>
    <w:p>
      <w:pPr>
        <w:pStyle w:val="ListParagraph"/>
        <w:numPr>
          <w:ilvl w:val="0"/>
          <w:numId w:val="2"/>
        </w:numPr>
        <w:spacing w:after="100" w:line="280"/>
      </w:pPr>
      <w:r>
        <w:rPr>
          <w:rFonts w:ascii="Calibri" w:cs="Calibri" w:eastAsia="Calibri" w:hAnsi="Calibri"/>
          <w:color w:val="1A1A1A"/>
          <w:sz w:val="21"/>
          <w:szCs w:val="21"/>
        </w:rPr>
        <w:t xml:space="preserve">2. Wat is kernzin 5?</w:t>
      </w:r>
    </w:p>
    <w:p>
      <w:pPr>
        <w:pStyle w:val="ListParagraph"/>
        <w:numPr>
          <w:ilvl w:val="0"/>
          <w:numId w:val="2"/>
        </w:numPr>
        <w:spacing w:after="100" w:line="280"/>
      </w:pPr>
      <w:r>
        <w:rPr>
          <w:rFonts w:ascii="Calibri" w:cs="Calibri" w:eastAsia="Calibri" w:hAnsi="Calibri"/>
          <w:color w:val="1A1A1A"/>
          <w:sz w:val="21"/>
          <w:szCs w:val="21"/>
        </w:rPr>
        <w:t xml:space="preserve">3. Wat is het verschil tussen een tolerantie en een impactschaal?</w:t>
      </w:r>
    </w:p>
    <w:p>
      <w:pPr>
        <w:pStyle w:val="ListParagraph"/>
        <w:numPr>
          <w:ilvl w:val="0"/>
          <w:numId w:val="2"/>
        </w:numPr>
        <w:spacing w:after="100" w:line="280"/>
      </w:pPr>
      <w:r>
        <w:rPr>
          <w:rFonts w:ascii="Calibri" w:cs="Calibri" w:eastAsia="Calibri" w:hAnsi="Calibri"/>
          <w:color w:val="1A1A1A"/>
          <w:sz w:val="21"/>
          <w:szCs w:val="21"/>
        </w:rPr>
        <w:t xml:space="preserve">4. Kan een tolerantie nul zijn? Geef een voorbeeld waarin dat een bewuste, goede keuze is.</w:t>
      </w:r>
    </w:p>
    <w:p>
      <w:pPr>
        <w:pStyle w:val="ListParagraph"/>
        <w:numPr>
          <w:ilvl w:val="0"/>
          <w:numId w:val="2"/>
        </w:numPr>
        <w:spacing w:after="100" w:line="280"/>
      </w:pPr>
      <w:r>
        <w:rPr>
          <w:rFonts w:ascii="Calibri" w:cs="Calibri" w:eastAsia="Calibri" w:hAnsi="Calibri"/>
          <w:color w:val="1A1A1A"/>
          <w:sz w:val="21"/>
          <w:szCs w:val="21"/>
        </w:rPr>
        <w:t xml:space="preserve">5. Noem de drie vragen die bij monitoring worden getoetst.</w:t>
      </w:r>
    </w:p>
    <w:p>
      <w:pPr>
        <w:pStyle w:val="ListParagraph"/>
        <w:numPr>
          <w:ilvl w:val="0"/>
          <w:numId w:val="2"/>
        </w:numPr>
        <w:spacing w:after="100" w:line="280"/>
      </w:pPr>
      <w:r>
        <w:rPr>
          <w:rFonts w:ascii="Calibri" w:cs="Calibri" w:eastAsia="Calibri" w:hAnsi="Calibri"/>
          <w:color w:val="1A1A1A"/>
          <w:sz w:val="21"/>
          <w:szCs w:val="21"/>
        </w:rPr>
        <w:t xml:space="preserve">6. Wat is het verschil tussen een KRI en een KPI?</w:t>
      </w:r>
    </w:p>
    <w:p>
      <w:pPr>
        <w:pStyle w:val="ListParagraph"/>
        <w:numPr>
          <w:ilvl w:val="0"/>
          <w:numId w:val="2"/>
        </w:numPr>
        <w:spacing w:after="100" w:line="280"/>
      </w:pPr>
      <w:r>
        <w:rPr>
          <w:rFonts w:ascii="Calibri" w:cs="Calibri" w:eastAsia="Calibri" w:hAnsi="Calibri"/>
          <w:color w:val="1A1A1A"/>
          <w:sz w:val="21"/>
          <w:szCs w:val="21"/>
        </w:rPr>
        <w:t xml:space="preserve">7. Noem de drie kenmerken van een goede KRI.</w:t>
      </w:r>
    </w:p>
    <w:p>
      <w:pPr>
        <w:pStyle w:val="ListParagraph"/>
        <w:numPr>
          <w:ilvl w:val="0"/>
          <w:numId w:val="2"/>
        </w:numPr>
        <w:spacing w:after="100" w:line="280"/>
      </w:pPr>
      <w:r>
        <w:rPr>
          <w:rFonts w:ascii="Calibri" w:cs="Calibri" w:eastAsia="Calibri" w:hAnsi="Calibri"/>
          <w:color w:val="1A1A1A"/>
          <w:sz w:val="21"/>
          <w:szCs w:val="21"/>
        </w:rPr>
        <w:t xml:space="preserve">8. Waarom is escaleren meer dan ‘naar boven roepen tot iemand luistert’?</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Het vijfde faalpunt: geen grenzen.</w:t>
      </w:r>
    </w:p>
    <w:p>
      <w:pPr>
        <w:spacing w:after="180" w:line="300"/>
        <w:jc w:val="both"/>
      </w:pPr>
      <w:r>
        <w:rPr>
          <w:rFonts w:ascii="Calibri" w:cs="Calibri" w:eastAsia="Calibri" w:hAnsi="Calibri"/>
          <w:color w:val="1A1A1A"/>
          <w:sz w:val="21"/>
          <w:szCs w:val="21"/>
        </w:rPr>
        <w:t xml:space="preserve">2. Escaleren is geen kwestie van moed, het is een kwestie van een afgesproken grens die is overschreden.</w:t>
      </w:r>
    </w:p>
    <w:p>
      <w:pPr>
        <w:spacing w:after="180" w:line="300"/>
        <w:jc w:val="both"/>
      </w:pPr>
      <w:r>
        <w:rPr>
          <w:rFonts w:ascii="Calibri" w:cs="Calibri" w:eastAsia="Calibri" w:hAnsi="Calibri"/>
          <w:color w:val="1A1A1A"/>
          <w:sz w:val="21"/>
          <w:szCs w:val="21"/>
        </w:rPr>
        <w:t xml:space="preserve">3. Een impactschaal beoordeelt hoe erg een gevolg is, gebruikt bij het scoren van een risico vooraf. Een tolerantie bepaalt wanneer de werkelijkheid een verplichte melding vereist, los van een specifieke risicoscore.</w:t>
      </w:r>
    </w:p>
    <w:p>
      <w:pPr>
        <w:spacing w:after="180" w:line="300"/>
        <w:jc w:val="both"/>
      </w:pPr>
      <w:r>
        <w:rPr>
          <w:rFonts w:ascii="Calibri" w:cs="Calibri" w:eastAsia="Calibri" w:hAnsi="Calibri"/>
          <w:color w:val="1A1A1A"/>
          <w:sz w:val="21"/>
          <w:szCs w:val="21"/>
        </w:rPr>
        <w:t xml:space="preserve">4. Ja — bijvoorbeeld voor de juistheid van pensioengegevens, waar elke afwijking wordt gemeld ongeacht omvang, gebaseerd op een expliciete risicobereidheid-uitspraak.</w:t>
      </w:r>
    </w:p>
    <w:p>
      <w:pPr>
        <w:spacing w:after="180" w:line="300"/>
        <w:jc w:val="both"/>
      </w:pPr>
      <w:r>
        <w:rPr>
          <w:rFonts w:ascii="Calibri" w:cs="Calibri" w:eastAsia="Calibri" w:hAnsi="Calibri"/>
          <w:color w:val="1A1A1A"/>
          <w:sz w:val="21"/>
          <w:szCs w:val="21"/>
        </w:rPr>
        <w:t xml:space="preserve">5. Is de context nog actueel? Is de respons nog effectief? Zijn er nieuwe (secundaire) risico's?</w:t>
      </w:r>
    </w:p>
    <w:p>
      <w:pPr>
        <w:spacing w:after="180" w:line="300"/>
        <w:jc w:val="both"/>
      </w:pPr>
      <w:r>
        <w:rPr>
          <w:rFonts w:ascii="Calibri" w:cs="Calibri" w:eastAsia="Calibri" w:hAnsi="Calibri"/>
          <w:color w:val="1A1A1A"/>
          <w:sz w:val="21"/>
          <w:szCs w:val="21"/>
        </w:rPr>
        <w:t xml:space="preserve">6. Een KPI meet prestatie (hoe goed gaat het); een KRI meet blootstelling aan een specifiek risico (hoe dichtbij is een probleem) en is idealiter leidend, niet volgend.</w:t>
      </w:r>
    </w:p>
    <w:p>
      <w:pPr>
        <w:spacing w:after="180" w:line="300"/>
        <w:jc w:val="both"/>
      </w:pPr>
      <w:r>
        <w:rPr>
          <w:rFonts w:ascii="Calibri" w:cs="Calibri" w:eastAsia="Calibri" w:hAnsi="Calibri"/>
          <w:color w:val="1A1A1A"/>
          <w:sz w:val="21"/>
          <w:szCs w:val="21"/>
        </w:rPr>
        <w:t xml:space="preserve">7. Leidend (niet volgend); direct gekoppeld aan één specifiek risico; meetbaar zonder interpretatieruimte.</w:t>
      </w:r>
    </w:p>
    <w:p>
      <w:pPr>
        <w:spacing w:after="180" w:line="300"/>
        <w:jc w:val="both"/>
      </w:pPr>
      <w:r>
        <w:rPr>
          <w:rFonts w:ascii="Calibri" w:cs="Calibri" w:eastAsia="Calibri" w:hAnsi="Calibri"/>
          <w:color w:val="1A1A1A"/>
          <w:sz w:val="21"/>
          <w:szCs w:val="21"/>
        </w:rPr>
        <w:t xml:space="preserve">8. Omdat elk niveau van de escalatieladder een ander perspectief heeft (project/programma/strategisch, zie deel 2), en het risico bij escalatie vertaald moet worden naar de vraag die op dát niveau relevant is — niet simpelweg dezelfde boodschap luider herhaald.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2026-08-16T10:12:13.809Z</dcterms:created>
  <dcterms:modified xsi:type="dcterms:W3CDTF">2026-08-16T10:12:13.810Z</dcterms:modified>
</cp:coreProperties>
</file>

<file path=docProps/custom.xml><?xml version="1.0" encoding="utf-8"?>
<Properties xmlns="http://schemas.openxmlformats.org/officeDocument/2006/custom-properties" xmlns:vt="http://schemas.openxmlformats.org/officeDocument/2006/docPropsVTypes"/>
</file>