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9 — Rollen en governance: wie draagt dit structureel?</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9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is bewust compact gehouden — het is een eerste kennismaking met een model (three lines of defence) dat in niveau 2 (deel 21) veel uitgebreider aan bod komt, en met een onderscheid (mandaat versus beslissingsmacht) dat in niveau 3 (deel 28) centraal komt te staan. Bewaak die beknoptheid: dit deel hoeft geen volledige organisatiekundige verhandeling te worden, het moet een helder, onthoudbaar frame neerzetten dat later wordt opgebouwd.</w:t>
      </w:r>
    </w:p>
    <w:p>
      <w:pPr>
        <w:spacing w:after="180" w:line="300"/>
        <w:jc w:val="both"/>
      </w:pPr>
      <w:r>
        <w:rPr>
          <w:rFonts w:ascii="Calibri" w:cs="Calibri" w:eastAsia="Calibri" w:hAnsi="Calibri"/>
          <w:color w:val="1A1A1A"/>
          <w:sz w:val="21"/>
          <w:szCs w:val="21"/>
        </w:rPr>
        <w:t xml:space="preserve">Het belangrijkste leerresultaat is Kernzin 6 en het onderscheid mandaat/beslissingsmacht — niet de exacte terminologie van three lines of defence. Als er tijdsdruk ontstaat, geef daar voorrang aan boven verdere uitwerking van het model zelf.</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de drie rollen (risico-eigenaar, risicomanager, interne auditor) onderscheiden en toepassen op een gegeven situatie;</w:t>
      </w:r>
    </w:p>
    <w:p>
      <w:pPr>
        <w:pStyle w:val="ListParagraph"/>
        <w:numPr>
          <w:ilvl w:val="0"/>
          <w:numId w:val="2"/>
        </w:numPr>
        <w:spacing w:after="100" w:line="280"/>
      </w:pPr>
      <w:r>
        <w:rPr>
          <w:rFonts w:ascii="Calibri" w:cs="Calibri" w:eastAsia="Calibri" w:hAnsi="Calibri"/>
          <w:color w:val="1A1A1A"/>
          <w:sz w:val="21"/>
          <w:szCs w:val="21"/>
        </w:rPr>
        <w:t xml:space="preserve">het three-lines-of-defence-model in hoofdlijnen beschrijven en toepassen;</w:t>
      </w:r>
    </w:p>
    <w:p>
      <w:pPr>
        <w:pStyle w:val="ListParagraph"/>
        <w:numPr>
          <w:ilvl w:val="0"/>
          <w:numId w:val="2"/>
        </w:numPr>
        <w:spacing w:after="100" w:line="280"/>
      </w:pPr>
      <w:r>
        <w:rPr>
          <w:rFonts w:ascii="Calibri" w:cs="Calibri" w:eastAsia="Calibri" w:hAnsi="Calibri"/>
          <w:color w:val="1A1A1A"/>
          <w:sz w:val="21"/>
          <w:szCs w:val="21"/>
        </w:rPr>
        <w:t xml:space="preserve">uitleggen waarom de derde lijn nooit rapporteert aan degene die zij controleert;</w:t>
      </w:r>
    </w:p>
    <w:p>
      <w:pPr>
        <w:pStyle w:val="ListParagraph"/>
        <w:numPr>
          <w:ilvl w:val="0"/>
          <w:numId w:val="2"/>
        </w:numPr>
        <w:spacing w:after="100" w:line="280"/>
      </w:pPr>
      <w:r>
        <w:rPr>
          <w:rFonts w:ascii="Calibri" w:cs="Calibri" w:eastAsia="Calibri" w:hAnsi="Calibri"/>
          <w:color w:val="1A1A1A"/>
          <w:sz w:val="21"/>
          <w:szCs w:val="21"/>
        </w:rPr>
        <w:t xml:space="preserve">Kernzin 6 toepassen en het onderscheid tussen mandaat en beslissingsmacht herkennen in concrete voorbeelden;</w:t>
      </w:r>
    </w:p>
    <w:p>
      <w:pPr>
        <w:pStyle w:val="ListParagraph"/>
        <w:numPr>
          <w:ilvl w:val="0"/>
          <w:numId w:val="2"/>
        </w:numPr>
        <w:spacing w:after="100" w:line="280"/>
      </w:pPr>
      <w:r>
        <w:rPr>
          <w:rFonts w:ascii="Calibri" w:cs="Calibri" w:eastAsia="Calibri" w:hAnsi="Calibri"/>
          <w:color w:val="1A1A1A"/>
          <w:sz w:val="21"/>
          <w:szCs w:val="21"/>
        </w:rPr>
        <w:t xml:space="preserve">een minimale governance-inrichting voor het risicomanagementproces zelf schetsen.</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8, de grotere vraag</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0:15–0:35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Drie rollen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5–8</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0:35–1:05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Three lines of defence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9–13, opdracht 9.1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1:05–1:20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1:20–1:45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Waarom de risicomanager niet beslist, Kernzin 6</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14–17</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1:45–2:15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Mandaat versus beslissingsmacht</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18–19, opdracht 9.2 in tweetallen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2:15–2:30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2:30–2:55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Governance van het proces, opdracht 9.3</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20–21, individueel of in tweetallen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2:55–3:15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Sanne's positionering, terugblik op de hele casus tot nu toe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22–24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3:15–3:30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10 (examentraining + capstone)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25–26</w:t>
            </w:r>
          </w:p>
        </w:tc>
      </w:tr>
    </w:tbl>
    <w:p>
      <w:pPr>
        <w:spacing w:after="180" w:line="300"/>
        <w:jc w:val="both"/>
      </w:pPr>
      <w:r>
        <w:rPr>
          <w:rFonts w:ascii="Calibri" w:cs="Calibri" w:eastAsia="Calibri" w:hAnsi="Calibri"/>
          <w:color w:val="1A1A1A"/>
          <w:sz w:val="21"/>
          <w:szCs w:val="21"/>
        </w:rPr>
        <w:t xml:space="preserve">Huiswerk voor deel 10: geen nieuwe opdracht; vraag deelnemers om alle eigen materiaal uit deel 3 t/m 9 (context-document, drie risico's compleet uitgewerkt, tolerantiedocument) te verzamelen en mee te nemen — dit vormt de basis voor de capstone in deel 10.</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Three lines of defence te uitgebreid behandelen. Dit is niet het moment voor een volledige uiteenzetting inclusief kritiek op het model — dat komt in deel 21. Houd het bij de kernfunctie van elke lijn en de reden voor onafhankelijke rapportage van de derde lijn.</w:t>
      </w:r>
    </w:p>
    <w:p>
      <w:pPr>
        <w:pStyle w:val="ListParagraph"/>
        <w:numPr>
          <w:ilvl w:val="0"/>
          <w:numId w:val="2"/>
        </w:numPr>
        <w:spacing w:after="100" w:line="280"/>
      </w:pPr>
      <w:r>
        <w:rPr>
          <w:rFonts w:ascii="Calibri" w:cs="Calibri" w:eastAsia="Calibri" w:hAnsi="Calibri"/>
          <w:color w:val="1A1A1A"/>
          <w:sz w:val="21"/>
          <w:szCs w:val="21"/>
        </w:rPr>
        <w:t xml:space="preserve">Het onderscheid mandaat/beslissingsmacht te abstract laten. Opdracht 9.2, met name onderdelen b en d, is essentieel om dit concreet te maken. Sla deze opdracht niet over, ook niet bij tijdsdruk — dit is de belangrijkste leeropbrengst van het hele deel.</w:t>
      </w:r>
    </w:p>
    <w:p>
      <w:pPr>
        <w:pStyle w:val="ListParagraph"/>
        <w:numPr>
          <w:ilvl w:val="0"/>
          <w:numId w:val="2"/>
        </w:numPr>
        <w:spacing w:after="100" w:line="280"/>
      </w:pPr>
      <w:r>
        <w:rPr>
          <w:rFonts w:ascii="Calibri" w:cs="Calibri" w:eastAsia="Calibri" w:hAnsi="Calibri"/>
          <w:color w:val="1A1A1A"/>
          <w:sz w:val="21"/>
          <w:szCs w:val="21"/>
        </w:rPr>
        <w:t xml:space="preserve">Interne audit laten voelen als ‘de politie’. Interne audit toetst het systeem, niet individuen, en doet dat niet om te straffen maar om te borgen dat het geheel werkt. Als deelnemers interne audit als bedreigend gaan zien, ondermijnt dat het punt dat drie lijnen elkaar juist versterken, niet beconcurreren.</w:t>
      </w:r>
    </w:p>
    <w:p>
      <w:pPr>
        <w:pStyle w:val="ListParagraph"/>
        <w:numPr>
          <w:ilvl w:val="0"/>
          <w:numId w:val="2"/>
        </w:numPr>
        <w:spacing w:after="100" w:line="280"/>
      </w:pPr>
      <w:r>
        <w:rPr>
          <w:rFonts w:ascii="Calibri" w:cs="Calibri" w:eastAsia="Calibri" w:hAnsi="Calibri"/>
          <w:color w:val="1A1A1A"/>
          <w:sz w:val="21"/>
          <w:szCs w:val="21"/>
        </w:rPr>
        <w:t xml:space="preserve">Sanne's positionering als vanzelfsprekend voorstellen. Rechtstreeks rapporteren aan de directie is een keuze met gevolgen (het kan spanning geven met operationeel management), niet een neutraal gegeven. Laat daar kort ruimte voor discussie over zijn.</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Deelnemers uit de financiële sector.</w:t>
      </w:r>
      <w:r>
        <w:rPr>
          <w:rFonts w:ascii="Calibri" w:cs="Calibri" w:eastAsia="Calibri" w:hAnsi="Calibri"/>
          <w:color w:val="1A1A1A"/>
          <w:sz w:val="21"/>
          <w:szCs w:val="21"/>
        </w:rPr>
        <w:t xml:space="preserve"> Kennen three lines of defence vaak al, soms zeer gedetailleerd. Gebruik hun kennis om het model snel neer te zetten en besteed de gewonnen tijd aan het mandaat/beslissingsmacht-onderscheid, dat voor hen vaak minder vanzelfsprekend is dan het model zelf.</w:t>
      </w:r>
    </w:p>
    <w:p>
      <w:pPr>
        <w:spacing w:after="180" w:line="300"/>
        <w:jc w:val="both"/>
      </w:pPr>
      <w:r>
        <w:rPr>
          <w:rFonts w:ascii="Calibri" w:cs="Calibri" w:eastAsia="Calibri" w:hAnsi="Calibri"/>
          <w:b/>
          <w:bCs/>
          <w:color w:val="1B2A4A"/>
          <w:sz w:val="21"/>
          <w:szCs w:val="21"/>
        </w:rPr>
        <w:t xml:space="preserve">Projectmanagers en programmamanagers.</w:t>
      </w:r>
      <w:r>
        <w:rPr>
          <w:rFonts w:ascii="Calibri" w:cs="Calibri" w:eastAsia="Calibri" w:hAnsi="Calibri"/>
          <w:color w:val="1A1A1A"/>
          <w:sz w:val="21"/>
          <w:szCs w:val="21"/>
        </w:rPr>
        <w:t xml:space="preserve"> Zijn minder vertrouwd met het model maar herkennen de kern snel via de vergelijking met project-governance (stuurgroep versus uitvoerend team versus auditcommissie). Gebruik die parallel expliciet.</w:t>
      </w:r>
    </w:p>
    <w:p>
      <w:pPr>
        <w:spacing w:after="180" w:line="300"/>
        <w:jc w:val="both"/>
      </w:pPr>
      <w:r>
        <w:rPr>
          <w:rFonts w:ascii="Calibri" w:cs="Calibri" w:eastAsia="Calibri" w:hAnsi="Calibri"/>
          <w:b/>
          <w:bCs/>
          <w:color w:val="1B2A4A"/>
          <w:sz w:val="21"/>
          <w:szCs w:val="21"/>
        </w:rPr>
        <w:t xml:space="preserve">Deelnemers die zelf ooit een risicomanager-achtige rol hebben vervuld zonder duidelijk mandaat.</w:t>
      </w:r>
      <w:r>
        <w:rPr>
          <w:rFonts w:ascii="Calibri" w:cs="Calibri" w:eastAsia="Calibri" w:hAnsi="Calibri"/>
          <w:color w:val="1A1A1A"/>
          <w:sz w:val="21"/>
          <w:szCs w:val="21"/>
        </w:rPr>
        <w:t xml:space="preserve"> Herkennen Kernzin 6 vaak het sterkst vanuit persoonlijke frustratie — ‘ik werd wel verantwoordelijk gehouden, maar had geen bevoegdheid om iets af te dwingen’. Erken die ervaring expliciet; het is precies het probleem dat een goed ingerichte tweede lijn moet voorkomen.</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Is er in jouw organisatie een functie die zowel eerste- als tweedelijnstaken vervult zonder dat dit expliciet is erkend? Wat zijn de risico's daarvan?</w:t>
      </w:r>
    </w:p>
    <w:p>
      <w:pPr>
        <w:pStyle w:val="ListParagraph"/>
        <w:numPr>
          <w:ilvl w:val="0"/>
          <w:numId w:val="2"/>
        </w:numPr>
        <w:spacing w:after="100" w:line="280"/>
      </w:pPr>
      <w:r>
        <w:rPr>
          <w:rFonts w:ascii="Calibri" w:cs="Calibri" w:eastAsia="Calibri" w:hAnsi="Calibri"/>
          <w:color w:val="1A1A1A"/>
          <w:sz w:val="21"/>
          <w:szCs w:val="21"/>
        </w:rPr>
        <w:t xml:space="preserve">Stel dat de risicomanager in jouw organisatie morgen zelf een respons zou kiezen voor een risico-eigenaar. Wat zou er op korte termijn efficiënter worden, en wat zou er op lange termijn verloren gaan?</w:t>
      </w:r>
    </w:p>
    <w:p>
      <w:pPr>
        <w:pStyle w:val="ListParagraph"/>
        <w:numPr>
          <w:ilvl w:val="0"/>
          <w:numId w:val="2"/>
        </w:numPr>
        <w:spacing w:after="100" w:line="280"/>
      </w:pPr>
      <w:r>
        <w:rPr>
          <w:rFonts w:ascii="Calibri" w:cs="Calibri" w:eastAsia="Calibri" w:hAnsi="Calibri"/>
          <w:color w:val="1A1A1A"/>
          <w:sz w:val="21"/>
          <w:szCs w:val="21"/>
        </w:rPr>
        <w:t xml:space="preserve">Sanne rapporteert rechtstreeks aan de directie. Wat zou er kunnen misgaan in de relatie met operationeel management als deze keuze niet goed wordt uitgelegd?</w:t>
      </w:r>
    </w:p>
    <w:p>
      <w:pPr>
        <w:pStyle w:val="Heading2"/>
        <w:spacing w:after="160" w:before="360"/>
      </w:pPr>
      <w:r>
        <w:rPr>
          <w:rFonts w:ascii="Calibri" w:cs="Calibri" w:eastAsia="Calibri" w:hAnsi="Calibri"/>
          <w:b/>
          <w:bCs/>
          <w:color w:val="2C5AA0"/>
          <w:sz w:val="26"/>
          <w:szCs w:val="26"/>
        </w:rPr>
        <w:t xml:space="preserve">Antwoordmodel voor de moeilijkste bespreking (opdracht 9.2, b en d)</w:t>
      </w:r>
    </w:p>
    <w:p>
      <w:pPr>
        <w:spacing w:after="180" w:line="300"/>
        <w:jc w:val="both"/>
      </w:pPr>
      <w:r>
        <w:rPr>
          <w:rFonts w:ascii="Calibri" w:cs="Calibri" w:eastAsia="Calibri" w:hAnsi="Calibri"/>
          <w:color w:val="1A1A1A"/>
          <w:sz w:val="21"/>
          <w:szCs w:val="21"/>
        </w:rPr>
        <w:t xml:space="preserve">Deelnemers stemmen bij b en d soms toch ‘mandaat’ omdat het ‘voelt alsof Sanne hier gewoon behulpzaam is’. Laat de groep de proef op de som nemen met een vraag: als het misgaat — als de gekozen actiehouder de taak niet aankan, of als ‘vermijden’ achteraf de verkeerde keuze blijkt — wie is daar dan op aanspreekbaar? Als het antwoord ‘Sanne’ is, dan heeft zij feitelijk beslissingsmacht uitgeoefend, ook al voelde het als hulp. Verantwoordelijkheid voor de uitkomst en de bevoegdheid om te beslissen horen bij elkaar; zodra Sanne voor de eigenaar beslist, verschuift ook de verantwoordelijkheid ongemerkt naar haar — en dat is precies wat het eerste-lijns-principe wil voorkomen.</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Een schema van het three-lines-of-defence-model (zie het figuur in de reader) als blijvend naslagwerk tijdens het dagdeel.</w:t>
      </w:r>
    </w:p>
    <w:p>
      <w:pPr>
        <w:pStyle w:val="ListParagraph"/>
        <w:numPr>
          <w:ilvl w:val="0"/>
          <w:numId w:val="2"/>
        </w:numPr>
        <w:spacing w:after="100" w:line="280"/>
      </w:pPr>
      <w:r>
        <w:rPr>
          <w:rFonts w:ascii="Calibri" w:cs="Calibri" w:eastAsia="Calibri" w:hAnsi="Calibri"/>
          <w:color w:val="1A1A1A"/>
          <w:sz w:val="21"/>
          <w:szCs w:val="21"/>
        </w:rPr>
        <w:t xml:space="preserve">Kaartjes met bevoegdheden (zoals in opdracht 9.2) om fysiek te sorteren in ‘mandaat’ en ‘beslissingsmacht’, als de groep baat heeft bij een fysieke, bewegende werkvorm na een lang zittend dagdeel.</w:t>
      </w:r>
    </w:p>
    <w:p>
      <w:pPr>
        <w:pStyle w:val="Heading2"/>
        <w:spacing w:after="160" w:before="360"/>
      </w:pPr>
      <w:r>
        <w:rPr>
          <w:rFonts w:ascii="Calibri" w:cs="Calibri" w:eastAsia="Calibri" w:hAnsi="Calibri"/>
          <w:b/>
          <w:bCs/>
          <w:color w:val="2C5AA0"/>
          <w:sz w:val="26"/>
          <w:szCs w:val="26"/>
        </w:rPr>
        <w:t xml:space="preserve">Aansluiting op deel 10</w:t>
      </w:r>
    </w:p>
    <w:p>
      <w:pPr>
        <w:spacing w:after="180" w:line="300"/>
        <w:jc w:val="both"/>
      </w:pPr>
      <w:r>
        <w:rPr>
          <w:rFonts w:ascii="Calibri" w:cs="Calibri" w:eastAsia="Calibri" w:hAnsi="Calibri"/>
          <w:color w:val="1A1A1A"/>
          <w:sz w:val="21"/>
          <w:szCs w:val="21"/>
        </w:rPr>
        <w:t xml:space="preserve">Sluit af met: niveau 1 is inhoudelijk compleet. Deel 10 is de afsluiting — een examentraining in het format van het CRMF-examen, en een capstone waarin deelnemers het complete instrumentarium van context tot governance verdedigen voor stuurgroeprollen, met de herstart van WGP 2.0 als decor.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2026-08-16T10:17:18.638Z</dcterms:created>
  <dcterms:modified xsi:type="dcterms:W3CDTF">2026-08-16T10:17:18.639Z</dcterms:modified>
</cp:coreProperties>
</file>

<file path=docProps/custom.xml><?xml version="1.0" encoding="utf-8"?>
<Properties xmlns="http://schemas.openxmlformats.org/officeDocument/2006/custom-properties" xmlns:vt="http://schemas.openxmlformats.org/officeDocument/2006/docPropsVTypes"/>
</file>