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9 — Rollen en governance: wie draagt dit structureel?</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9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9.1 — Welke lijn?</w:t>
      </w:r>
    </w:p>
    <w:p>
      <w:pPr>
        <w:spacing w:after="180" w:line="300"/>
        <w:jc w:val="both"/>
      </w:pPr>
      <w:r>
        <w:rPr>
          <w:rFonts w:ascii="Calibri" w:cs="Calibri" w:eastAsia="Calibri" w:hAnsi="Calibri"/>
          <w:color w:val="1A1A1A"/>
          <w:sz w:val="21"/>
          <w:szCs w:val="21"/>
        </w:rPr>
        <w:t xml:space="preserve">Voor elk van de volgende activiteiten: hoort dit bij de eerste, tweede of derde lijn?</w:t>
      </w:r>
    </w:p>
    <w:p>
      <w:pPr>
        <w:spacing w:after="180" w:line="300"/>
        <w:jc w:val="both"/>
      </w:pPr>
      <w:r>
        <w:rPr>
          <w:rFonts w:ascii="Calibri" w:cs="Calibri" w:eastAsia="Calibri" w:hAnsi="Calibri"/>
          <w:color w:val="1A1A1A"/>
          <w:sz w:val="21"/>
          <w:szCs w:val="21"/>
        </w:rPr>
        <w:t xml:space="preserve">a) De teamleider Data beoordeelt maandelijks of de respons op het sleutelkennisrisico nog werkt.</w:t>
      </w:r>
    </w:p>
    <w:p>
      <w:pPr>
        <w:spacing w:after="180" w:line="300"/>
        <w:jc w:val="both"/>
      </w:pPr>
      <w:r>
        <w:rPr>
          <w:rFonts w:ascii="Calibri" w:cs="Calibri" w:eastAsia="Calibri" w:hAnsi="Calibri"/>
          <w:color w:val="1A1A1A"/>
          <w:sz w:val="21"/>
          <w:szCs w:val="21"/>
        </w:rPr>
        <w:t xml:space="preserve">b) Een onafhankelijke auditor onderzoekt, achteraf, of het risicomanagementproces van de hele afdeling Projecten aan de gestelde kwaliteitseisen voldoet.</w:t>
      </w:r>
    </w:p>
    <w:p>
      <w:pPr>
        <w:spacing w:after="180" w:line="300"/>
        <w:jc w:val="both"/>
      </w:pPr>
      <w:r>
        <w:rPr>
          <w:rFonts w:ascii="Calibri" w:cs="Calibri" w:eastAsia="Calibri" w:hAnsi="Calibri"/>
          <w:color w:val="1A1A1A"/>
          <w:sz w:val="21"/>
          <w:szCs w:val="21"/>
        </w:rPr>
        <w:t xml:space="preserve">c) Sanne stelt het registersjabloon met dertien kolommen (deel 7) beschikbaar en controleert of alle risico-eigenaren het consequent gebruiken.</w:t>
      </w:r>
    </w:p>
    <w:p>
      <w:pPr>
        <w:spacing w:after="180" w:line="300"/>
        <w:jc w:val="both"/>
      </w:pPr>
      <w:r>
        <w:rPr>
          <w:rFonts w:ascii="Calibri" w:cs="Calibri" w:eastAsia="Calibri" w:hAnsi="Calibri"/>
          <w:color w:val="1A1A1A"/>
          <w:sz w:val="21"/>
          <w:szCs w:val="21"/>
        </w:rPr>
        <w:t xml:space="preserve">d) Gerard Ploeg voert de documentatie van de premieberekening daadwerkelijk uit.</w:t>
      </w:r>
    </w:p>
    <w:p>
      <w:pPr>
        <w:spacing w:after="180" w:line="300"/>
        <w:jc w:val="both"/>
      </w:pPr>
      <w:r>
        <w:rPr>
          <w:rFonts w:ascii="Calibri" w:cs="Calibri" w:eastAsia="Calibri" w:hAnsi="Calibri"/>
          <w:color w:val="1A1A1A"/>
          <w:sz w:val="21"/>
          <w:szCs w:val="21"/>
        </w:rPr>
        <w:t xml:space="preserve">e) De auditcommissie van het bestuur ontvangt een jaarlijks rapport over de kwaliteit van de tweede lijn zelf.</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Eerste lijn. De risico-eigenaar zelf, dagelijks verantwoordelijk.
b) Derde lijn. Onafhankelijk, achteraf, beoordeelt het systeem, niet één risico.
c) Tweede lijn. Sanne ondersteunt en bewaakt de kwaliteit van het proces, zonder zelf de risico's te dragen.
d) Eerste lijn. Een actiehouder die een specifieke maatregel uitvoert, onderdeel van het dagelijkse werk.
e) Derde lijn, in de vorm van rapportage — dit is precies de onafhankelijke rapportagelijn die het model zijn kracht geeft: de derde lijn rapporteert niet aan wie zij controleert.
Discussiepunt bij e: vraag door wat er zou gebeuren als dit rapport in plaats daarvan aan de risicomanager zelf zou gaan in plaats van aan de auditcommissie. Antwoord: dan verliest de derde lijn haar onafhankelijkheid, en daarmee haar functie.</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9.2 — Mandaat of beslissingsmacht?</w:t>
      </w:r>
    </w:p>
    <w:p>
      <w:pPr>
        <w:spacing w:after="180" w:line="300"/>
        <w:jc w:val="both"/>
      </w:pPr>
      <w:r>
        <w:rPr>
          <w:rFonts w:ascii="Calibri" w:cs="Calibri" w:eastAsia="Calibri" w:hAnsi="Calibri"/>
          <w:color w:val="1A1A1A"/>
          <w:sz w:val="21"/>
          <w:szCs w:val="21"/>
        </w:rPr>
        <w:t xml:space="preserve">Voor elk van de volgende bevoegdheden van Sanne: is dit mandaat of beslissingsmacht (zie paragraaf 9.3)?</w:t>
      </w:r>
    </w:p>
    <w:p>
      <w:pPr>
        <w:spacing w:after="180" w:line="300"/>
        <w:jc w:val="both"/>
      </w:pPr>
      <w:r>
        <w:rPr>
          <w:rFonts w:ascii="Calibri" w:cs="Calibri" w:eastAsia="Calibri" w:hAnsi="Calibri"/>
          <w:color w:val="1A1A1A"/>
          <w:sz w:val="21"/>
          <w:szCs w:val="21"/>
        </w:rPr>
        <w:t xml:space="preserve">a) Zij kan een identificatiesessie beleggen zonder toestemming van de projectmanager te hoeven vragen.</w:t>
      </w:r>
    </w:p>
    <w:p>
      <w:pPr>
        <w:spacing w:after="180" w:line="300"/>
        <w:jc w:val="both"/>
      </w:pPr>
      <w:r>
        <w:rPr>
          <w:rFonts w:ascii="Calibri" w:cs="Calibri" w:eastAsia="Calibri" w:hAnsi="Calibri"/>
          <w:color w:val="1A1A1A"/>
          <w:sz w:val="21"/>
          <w:szCs w:val="21"/>
        </w:rPr>
        <w:t xml:space="preserve">b) Zij kan bepalen dat het sleutelkennisrisico voortaan wordt ‘vermeden’ in plaats van ‘verminderd’.</w:t>
      </w:r>
    </w:p>
    <w:p>
      <w:pPr>
        <w:spacing w:after="180" w:line="300"/>
        <w:jc w:val="both"/>
      </w:pPr>
      <w:r>
        <w:rPr>
          <w:rFonts w:ascii="Calibri" w:cs="Calibri" w:eastAsia="Calibri" w:hAnsi="Calibri"/>
          <w:color w:val="1A1A1A"/>
          <w:sz w:val="21"/>
          <w:szCs w:val="21"/>
        </w:rPr>
        <w:t xml:space="preserve">c) Zij kan escaleren naar de directie als een tolerantie is overschreden zonder dat de eigenaar dit heeft gemeld.</w:t>
      </w:r>
    </w:p>
    <w:p>
      <w:pPr>
        <w:spacing w:after="180" w:line="300"/>
        <w:jc w:val="both"/>
      </w:pPr>
      <w:r>
        <w:rPr>
          <w:rFonts w:ascii="Calibri" w:cs="Calibri" w:eastAsia="Calibri" w:hAnsi="Calibri"/>
          <w:color w:val="1A1A1A"/>
          <w:sz w:val="21"/>
          <w:szCs w:val="21"/>
        </w:rPr>
        <w:t xml:space="preserve">d) Zij kan een risico-eigenaar dwingen een specifieke actiehouder aan te stellen.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Mandaat. Het recht om te agenderen en te faciliteren.
b) Beslissingsmacht — en dit hoort NIET bij Sanne's rol. De keuze van respons ligt bij de risico-eigenaar (teamleider IT), niet bij de risicomanager. Als dit toch bij Sanne zou liggen, zou dat het eerste-lijns-principe ondermijnen.
c) Mandaat. Escaleren is precies de bevoegdheid die bij de tweede lijn hoort — het is geen besluit over het risico zelf, maar een handeling die ervoor zorgt dat de juiste vraag bij de juiste persoon terechtkomt.
d) Beslissingsmacht — en dit hoort NIET bij Sanne's rol. De keuze van een actiehouder is een operationele beslissing die bij de risico-eigenaar ligt.
Wat je hier moet meenemen: b en d zijn met opzet verleidelijke, plausibel klinkende bevoegdheden die tóch niet bij de tweede lijn horen. Dit is de kern van Kernzin 6 concreet toegepast, en de reden dat dit onderscheid in de praktijk vaak wordt overtreden — het voelt efficiënt als de risicomanager ‘gewoon even beslist’, maar het ondermijnt het hele model.</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9.3 — Een governancetabel voor je eigen organisatie</w:t>
      </w:r>
    </w:p>
    <w:p>
      <w:pPr>
        <w:spacing w:after="180" w:line="300"/>
        <w:jc w:val="both"/>
      </w:pPr>
      <w:r>
        <w:rPr>
          <w:rFonts w:ascii="Calibri" w:cs="Calibri" w:eastAsia="Calibri" w:hAnsi="Calibri"/>
          <w:color w:val="1A1A1A"/>
          <w:sz w:val="21"/>
          <w:szCs w:val="21"/>
        </w:rPr>
        <w:t xml:space="preserve">Vul, naar het voorbeeld van paragraaf 9.4, een korte governancetabel in voor een risicomanagementproces in je eigen organisatie (of, als alternatief, voor de WGP 2.0-herstart): wat wordt vastgesteld, door wie, met welke frequentie.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 op eigen praktijk of op de casus. Controleer bij nakijken of ‘wie stelt vast’ concrete rollen bevat (geen ‘het management’ in het algemeen) en of de frequentie is gekoppeld aan een gebeurtenis (bijvoorbeeld ‘bij grote koerswijziging’) in plaats van uitsluitend aan een kalendercyclus — puur kalendergedreven governance loopt het risico dat belangrijke tussentijdse wijzigingen worden gemist tot de volgende geplande ronde.</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9</w:t>
      </w:r>
    </w:p>
    <w:p>
      <w:pPr>
        <w:pStyle w:val="ListParagraph"/>
        <w:numPr>
          <w:ilvl w:val="0"/>
          <w:numId w:val="2"/>
        </w:numPr>
        <w:spacing w:after="100" w:line="280"/>
      </w:pPr>
      <w:r>
        <w:rPr>
          <w:rFonts w:ascii="Calibri" w:cs="Calibri" w:eastAsia="Calibri" w:hAnsi="Calibri"/>
          <w:color w:val="1A1A1A"/>
          <w:sz w:val="21"/>
          <w:szCs w:val="21"/>
        </w:rPr>
        <w:t xml:space="preserve">1. Noem de drie rollen uit paragraaf 9.1 en hun kernfunctie.</w:t>
      </w:r>
    </w:p>
    <w:p>
      <w:pPr>
        <w:pStyle w:val="ListParagraph"/>
        <w:numPr>
          <w:ilvl w:val="0"/>
          <w:numId w:val="2"/>
        </w:numPr>
        <w:spacing w:after="100" w:line="280"/>
      </w:pPr>
      <w:r>
        <w:rPr>
          <w:rFonts w:ascii="Calibri" w:cs="Calibri" w:eastAsia="Calibri" w:hAnsi="Calibri"/>
          <w:color w:val="1A1A1A"/>
          <w:sz w:val="21"/>
          <w:szCs w:val="21"/>
        </w:rPr>
        <w:t xml:space="preserve">2. Noem de drie lijnen van het three-lines-of-defence-model en wat elke lijn doet.</w:t>
      </w:r>
    </w:p>
    <w:p>
      <w:pPr>
        <w:pStyle w:val="ListParagraph"/>
        <w:numPr>
          <w:ilvl w:val="0"/>
          <w:numId w:val="2"/>
        </w:numPr>
        <w:spacing w:after="100" w:line="280"/>
      </w:pPr>
      <w:r>
        <w:rPr>
          <w:rFonts w:ascii="Calibri" w:cs="Calibri" w:eastAsia="Calibri" w:hAnsi="Calibri"/>
          <w:color w:val="1A1A1A"/>
          <w:sz w:val="21"/>
          <w:szCs w:val="21"/>
        </w:rPr>
        <w:t xml:space="preserve">3. Waarom rapporteert de derde lijn nooit aan degene die zij controleert?</w:t>
      </w:r>
    </w:p>
    <w:p>
      <w:pPr>
        <w:pStyle w:val="ListParagraph"/>
        <w:numPr>
          <w:ilvl w:val="0"/>
          <w:numId w:val="2"/>
        </w:numPr>
        <w:spacing w:after="100" w:line="280"/>
      </w:pPr>
      <w:r>
        <w:rPr>
          <w:rFonts w:ascii="Calibri" w:cs="Calibri" w:eastAsia="Calibri" w:hAnsi="Calibri"/>
          <w:color w:val="1A1A1A"/>
          <w:sz w:val="21"/>
          <w:szCs w:val="21"/>
        </w:rPr>
        <w:t xml:space="preserve">4. Wat is kernzin 6?</w:t>
      </w:r>
    </w:p>
    <w:p>
      <w:pPr>
        <w:pStyle w:val="ListParagraph"/>
        <w:numPr>
          <w:ilvl w:val="0"/>
          <w:numId w:val="2"/>
        </w:numPr>
        <w:spacing w:after="100" w:line="280"/>
      </w:pPr>
      <w:r>
        <w:rPr>
          <w:rFonts w:ascii="Calibri" w:cs="Calibri" w:eastAsia="Calibri" w:hAnsi="Calibri"/>
          <w:color w:val="1A1A1A"/>
          <w:sz w:val="21"/>
          <w:szCs w:val="21"/>
        </w:rPr>
        <w:t xml:space="preserve">5. Wat is het verschil tussen mandaat en beslissingsmacht?</w:t>
      </w:r>
    </w:p>
    <w:p>
      <w:pPr>
        <w:pStyle w:val="ListParagraph"/>
        <w:numPr>
          <w:ilvl w:val="0"/>
          <w:numId w:val="2"/>
        </w:numPr>
        <w:spacing w:after="100" w:line="280"/>
      </w:pPr>
      <w:r>
        <w:rPr>
          <w:rFonts w:ascii="Calibri" w:cs="Calibri" w:eastAsia="Calibri" w:hAnsi="Calibri"/>
          <w:color w:val="1A1A1A"/>
          <w:sz w:val="21"/>
          <w:szCs w:val="21"/>
        </w:rPr>
        <w:t xml:space="preserve">6. Waarom zou het ondermijnend zijn als de risicomanager zelf zou beslissen welke respons een risico-eigenaar moet kiezen?</w:t>
      </w:r>
    </w:p>
    <w:p>
      <w:pPr>
        <w:pStyle w:val="ListParagraph"/>
        <w:numPr>
          <w:ilvl w:val="0"/>
          <w:numId w:val="2"/>
        </w:numPr>
        <w:spacing w:after="100" w:line="280"/>
      </w:pPr>
      <w:r>
        <w:rPr>
          <w:rFonts w:ascii="Calibri" w:cs="Calibri" w:eastAsia="Calibri" w:hAnsi="Calibri"/>
          <w:color w:val="1A1A1A"/>
          <w:sz w:val="21"/>
          <w:szCs w:val="21"/>
        </w:rPr>
        <w:t xml:space="preserve">7. Waarom rapporteert Sanne rechtstreeks aan de directie, in plaats van via een operationele lijn?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Risico-eigenaar (eerste lijn, draagt het risico dagelijks); risicomanager (tweede lijn, ondersteunt en bewaakt het proces); interne auditor (derde lijn, toetst achteraf of het systeem zelf deugt).</w:t>
      </w:r>
    </w:p>
    <w:p>
      <w:pPr>
        <w:spacing w:after="180" w:line="300"/>
        <w:jc w:val="both"/>
      </w:pPr>
      <w:r>
        <w:rPr>
          <w:rFonts w:ascii="Calibri" w:cs="Calibri" w:eastAsia="Calibri" w:hAnsi="Calibri"/>
          <w:color w:val="1A1A1A"/>
          <w:sz w:val="21"/>
          <w:szCs w:val="21"/>
        </w:rPr>
        <w:t xml:space="preserve">2. Eerste lijn: operationeel management, primaire verantwoordelijkheid voor het beheersen van risico's. Tweede lijn: risicomanagement/compliance, ondersteunt en bewaakt met een eigen rapportagelijn. Derde lijn: interne audit, onafhankelijk, toetst achteraf het geheel inclusief de tweede lijn.</w:t>
      </w:r>
    </w:p>
    <w:p>
      <w:pPr>
        <w:spacing w:after="180" w:line="300"/>
        <w:jc w:val="both"/>
      </w:pPr>
      <w:r>
        <w:rPr>
          <w:rFonts w:ascii="Calibri" w:cs="Calibri" w:eastAsia="Calibri" w:hAnsi="Calibri"/>
          <w:color w:val="1A1A1A"/>
          <w:sz w:val="21"/>
          <w:szCs w:val="21"/>
        </w:rPr>
        <w:t xml:space="preserve">3. Omdat zij anders haar onafhankelijkheid verliest, en daarmee de waarde van haar oordeel — een controlerende functie die aan de gecontroleerde rapporteert, controleert in wezen niets.</w:t>
      </w:r>
    </w:p>
    <w:p>
      <w:pPr>
        <w:spacing w:after="180" w:line="300"/>
        <w:jc w:val="both"/>
      </w:pPr>
      <w:r>
        <w:rPr>
          <w:rFonts w:ascii="Calibri" w:cs="Calibri" w:eastAsia="Calibri" w:hAnsi="Calibri"/>
          <w:color w:val="1A1A1A"/>
          <w:sz w:val="21"/>
          <w:szCs w:val="21"/>
        </w:rPr>
        <w:t xml:space="preserve">4. De risicofunctie beslist niet namens de risico-eigenaar — zij zorgt dat de juiste vraag op tafel komt, op het juiste moment, bij de juiste persoon.</w:t>
      </w:r>
    </w:p>
    <w:p>
      <w:pPr>
        <w:spacing w:after="180" w:line="300"/>
        <w:jc w:val="both"/>
      </w:pPr>
      <w:r>
        <w:rPr>
          <w:rFonts w:ascii="Calibri" w:cs="Calibri" w:eastAsia="Calibri" w:hAnsi="Calibri"/>
          <w:color w:val="1A1A1A"/>
          <w:sz w:val="21"/>
          <w:szCs w:val="21"/>
        </w:rPr>
        <w:t xml:space="preserve">5. Mandaat is het recht om te agenderen, te bevragen, te escaleren. Beslissingsmacht is het recht om de uitkomst zelf te bepalen. De risicomanager heeft het eerste, niet het tweede.</w:t>
      </w:r>
    </w:p>
    <w:p>
      <w:pPr>
        <w:spacing w:after="180" w:line="300"/>
        <w:jc w:val="both"/>
      </w:pPr>
      <w:r>
        <w:rPr>
          <w:rFonts w:ascii="Calibri" w:cs="Calibri" w:eastAsia="Calibri" w:hAnsi="Calibri"/>
          <w:color w:val="1A1A1A"/>
          <w:sz w:val="21"/>
          <w:szCs w:val="21"/>
        </w:rPr>
        <w:t xml:space="preserve">6. Omdat de risico-eigenaar zich dan kan terugtrekken uit de eigen verantwoordelijkheid (‘dat is nu risicomanagement haar zaak’), wat het eerste-lijns-principe ondermijnt: risicomanagement hoort daar te zitten waar het werk gebeurt.</w:t>
      </w:r>
    </w:p>
    <w:p>
      <w:pPr>
        <w:spacing w:after="180" w:line="300"/>
        <w:jc w:val="both"/>
      </w:pPr>
      <w:r>
        <w:rPr>
          <w:rFonts w:ascii="Calibri" w:cs="Calibri" w:eastAsia="Calibri" w:hAnsi="Calibri"/>
          <w:color w:val="1A1A1A"/>
          <w:sz w:val="21"/>
          <w:szCs w:val="21"/>
        </w:rPr>
        <w:t xml:space="preserve">7. Omdat een rapportagelijn via een operationele functie het risico met zich meebrengt dat ongemakkelijk nieuws wordt gefilterd voordat het de top bereikt — precies het mandaat dat er bij WGP 2.0 ontbrak.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2026-08-16T10:17:18.443Z</dcterms:created>
  <dcterms:modified xsi:type="dcterms:W3CDTF">2026-08-16T10:17:18.444Z</dcterms:modified>
</cp:coreProperties>
</file>

<file path=docProps/custom.xml><?xml version="1.0" encoding="utf-8"?>
<Properties xmlns="http://schemas.openxmlformats.org/officeDocument/2006/custom-properties" xmlns:vt="http://schemas.openxmlformats.org/officeDocument/2006/docPropsVTypes"/>
</file>