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10 — Examentraining en capstone: de verdediging</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10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de afsluiting van niveau 1, en het dagdeel heeft twee heel verschillende registers: de eerste helft is examengericht en individueel (proefexamen, review), de tweede helft is de capstone — een rollenspel-verdediging die het hele niveau samenbrengt. Bewaak de overgang tussen beide expliciet; het is een andere modus van werken en deelnemers hebben soms een korte adempauze nodig om te schakelen.</w:t>
      </w:r>
    </w:p>
    <w:p>
      <w:pPr>
        <w:spacing w:after="180" w:line="300"/>
        <w:jc w:val="both"/>
      </w:pPr>
      <w:r>
        <w:rPr>
          <w:rFonts w:ascii="Calibri" w:cs="Calibri" w:eastAsia="Calibri" w:hAnsi="Calibri"/>
          <w:color w:val="1A1A1A"/>
          <w:sz w:val="21"/>
          <w:szCs w:val="21"/>
        </w:rPr>
        <w:t xml:space="preserve">De capstone is het belangrijkste onderdeel van het dagdeel. Als er tijdsdruk ontstaat, kort dan het proefexamen in (bijvoorbeeld tien in plaats van twintig vragen bespreken), maar behoud de volledige tijd voor de capstone-verdediging en -bespreking.</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het CRMF-examenformat correct beschrijven en typische valkuilen (scenariovragen, standaardverwarring) herkennen;</w:t>
      </w:r>
    </w:p>
    <w:p>
      <w:pPr>
        <w:pStyle w:val="ListParagraph"/>
        <w:numPr>
          <w:ilvl w:val="0"/>
          <w:numId w:val="2"/>
        </w:numPr>
        <w:spacing w:after="100" w:line="280"/>
      </w:pPr>
      <w:r>
        <w:rPr>
          <w:rFonts w:ascii="Calibri" w:cs="Calibri" w:eastAsia="Calibri" w:hAnsi="Calibri"/>
          <w:color w:val="1A1A1A"/>
          <w:sz w:val="21"/>
          <w:szCs w:val="21"/>
        </w:rPr>
        <w:t xml:space="preserve">het hele instrumentarium van niveau 1 — context, register, respons, escalatie, governance — coherent presenteren voor een kritisch publiek;</w:t>
      </w:r>
    </w:p>
    <w:p>
      <w:pPr>
        <w:pStyle w:val="ListParagraph"/>
        <w:numPr>
          <w:ilvl w:val="0"/>
          <w:numId w:val="2"/>
        </w:numPr>
        <w:spacing w:after="100" w:line="280"/>
      </w:pPr>
      <w:r>
        <w:rPr>
          <w:rFonts w:ascii="Calibri" w:cs="Calibri" w:eastAsia="Calibri" w:hAnsi="Calibri"/>
          <w:color w:val="1A1A1A"/>
          <w:sz w:val="21"/>
          <w:szCs w:val="21"/>
        </w:rPr>
        <w:t xml:space="preserve">voor elk van de vijf faalpunten uit deel 1 expliciet aantonen welk instrument het oplost;</w:t>
      </w:r>
    </w:p>
    <w:p>
      <w:pPr>
        <w:pStyle w:val="ListParagraph"/>
        <w:numPr>
          <w:ilvl w:val="0"/>
          <w:numId w:val="2"/>
        </w:numPr>
        <w:spacing w:after="100" w:line="280"/>
      </w:pPr>
      <w:r>
        <w:rPr>
          <w:rFonts w:ascii="Calibri" w:cs="Calibri" w:eastAsia="Calibri" w:hAnsi="Calibri"/>
          <w:color w:val="1A1A1A"/>
          <w:sz w:val="21"/>
          <w:szCs w:val="21"/>
        </w:rPr>
        <w:t xml:space="preserve">kritische vragen over het eigen instrumentarium beantwoorden zonder terug te vallen op vage geruststellingen.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Opening, wat vandaag anders is dan de vorige negen keer</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Kort</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Proefexamen, individueel, onder tijdsdruk</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30 min voor 20 vragen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0:45–1:15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Nabespreking proefexamen, nadruk op fout beantwoorde vragen per deel</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1:15–1:30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1:30–1:45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Niveau-1-overzicht, uitleg capstone-opdracht en rollen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uitleg</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1:45–2:15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Voorbereidingstijd capstone, individueel of in tweetallen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Checklist uit werkboek als leidraad</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2:30–3:20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Capstone-verdedigingen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Circa 4-5 deelnemers × 15 min presentatie + 10 min bevraging</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3:20–3:30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Afsluiting niveau 1, vooruitblik niveau 2</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w:t>
            </w:r>
          </w:p>
        </w:tc>
      </w:tr>
    </w:tbl>
    <w:p>
      <w:pPr>
        <w:spacing w:after="180" w:line="300"/>
        <w:jc w:val="both"/>
      </w:pPr>
      <w:r>
        <w:rPr>
          <w:rFonts w:ascii="Calibri" w:cs="Calibri" w:eastAsia="Calibri" w:hAnsi="Calibri"/>
          <w:color w:val="1A1A1A"/>
          <w:sz w:val="21"/>
          <w:szCs w:val="21"/>
        </w:rPr>
        <w:t xml:space="preserve">Bij grotere groepen (&gt;6 deelnemers): splits de capstone in parallelle subgroepen met elk een eigen ‘stuurgroep’ van drie tot vier medecursisten, en laat de docent rouleren tussen de subgroepen om steekproefsgewijs te observeren en aan het eind gezamenlijk na te bespreken.</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Het proefexamen als eindpunt behandelen in plaats van als diagnose. De nabespreking moet niet alleen de juiste antwoorden geven, maar per foutief beantwoorde vraag terugverwijzen naar het betreffende deel. Dit is de laatste kans om hiaten te dichten vóór niveau 2 begint.</w:t>
      </w:r>
    </w:p>
    <w:p>
      <w:pPr>
        <w:pStyle w:val="ListParagraph"/>
        <w:numPr>
          <w:ilvl w:val="0"/>
          <w:numId w:val="2"/>
        </w:numPr>
        <w:spacing w:after="100" w:line="280"/>
      </w:pPr>
      <w:r>
        <w:rPr>
          <w:rFonts w:ascii="Calibri" w:cs="Calibri" w:eastAsia="Calibri" w:hAnsi="Calibri"/>
          <w:color w:val="1A1A1A"/>
          <w:sz w:val="21"/>
          <w:szCs w:val="21"/>
        </w:rPr>
        <w:t xml:space="preserve">De capstone-rollen te licht spelen. Als de ‘stuurgroep’ alleen instemmend knikt, mist de oefening haar functie. Instrueer de rolspelers vooraf, bijvoorbeeld via een kort briefingmoment, en geef ze uitdrukkelijk toestemming om door te vragen en zelfs licht ongemakkelijke vragen te stellen — dat is precies wat een echte stuurgroep ook zou doen.</w:t>
      </w:r>
    </w:p>
    <w:p>
      <w:pPr>
        <w:pStyle w:val="ListParagraph"/>
        <w:numPr>
          <w:ilvl w:val="0"/>
          <w:numId w:val="2"/>
        </w:numPr>
        <w:spacing w:after="100" w:line="280"/>
      </w:pPr>
      <w:r>
        <w:rPr>
          <w:rFonts w:ascii="Calibri" w:cs="Calibri" w:eastAsia="Calibri" w:hAnsi="Calibri"/>
          <w:color w:val="1A1A1A"/>
          <w:sz w:val="21"/>
          <w:szCs w:val="21"/>
        </w:rPr>
        <w:t xml:space="preserve">Het vierde rubriekcriterium (aantoonbare les uit WGP 2.0) laten ondersneeuwen door de andere drie. Dit is het criterium dat het verschil maakt tussen ‘een technisch correct register’ en ‘het punt van deze hele cursus begrepen hebben’. Besteed er bij de nabespreking van elke verdediging expliciet een moment aan.</w:t>
      </w:r>
    </w:p>
    <w:p>
      <w:pPr>
        <w:pStyle w:val="ListParagraph"/>
        <w:numPr>
          <w:ilvl w:val="0"/>
          <w:numId w:val="2"/>
        </w:numPr>
        <w:spacing w:after="100" w:line="280"/>
      </w:pPr>
      <w:r>
        <w:rPr>
          <w:rFonts w:ascii="Calibri" w:cs="Calibri" w:eastAsia="Calibri" w:hAnsi="Calibri"/>
          <w:color w:val="1A1A1A"/>
          <w:sz w:val="21"/>
          <w:szCs w:val="21"/>
        </w:rPr>
        <w:t xml:space="preserve">Vergeten de link naar niveau 2 te maken. Dit is niet het einde van het traject, maar de afsluiting van het fundament. Zorg dat de laatste tien minuten niet alleen ‘tot ziens’ zijn, maar een concrete blik vooruit — vooral relevant als niveau 2 met een andere docent of op een later moment wordt vervolgd.</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die zich onzeker voelen over het examen.</w:t>
      </w:r>
      <w:r>
        <w:rPr>
          <w:rFonts w:ascii="Calibri" w:cs="Calibri" w:eastAsia="Calibri" w:hAnsi="Calibri"/>
          <w:color w:val="1A1A1A"/>
          <w:sz w:val="21"/>
          <w:szCs w:val="21"/>
        </w:rPr>
        <w:t xml:space="preserve"> Gebruik het proefexamen niet als beoordelingsmoment maar nadrukkelijk als oefening — herhaal dat 15/20 overeenkomt met de slagingsgrens, en dat dit oefenmateriaal is, geen officiële toets.</w:t>
      </w:r>
    </w:p>
    <w:p>
      <w:pPr>
        <w:spacing w:after="180" w:line="300"/>
        <w:jc w:val="both"/>
      </w:pPr>
      <w:r>
        <w:rPr>
          <w:rFonts w:ascii="Calibri" w:cs="Calibri" w:eastAsia="Calibri" w:hAnsi="Calibri"/>
          <w:b/>
          <w:bCs/>
          <w:color w:val="1B2A4A"/>
          <w:sz w:val="21"/>
          <w:szCs w:val="21"/>
        </w:rPr>
        <w:t xml:space="preserve">Deelnemers die de capstone spannend vinden (spreekangst, groepsdruk).</w:t>
      </w:r>
      <w:r>
        <w:rPr>
          <w:rFonts w:ascii="Calibri" w:cs="Calibri" w:eastAsia="Calibri" w:hAnsi="Calibri"/>
          <w:color w:val="1A1A1A"/>
          <w:sz w:val="21"/>
          <w:szCs w:val="21"/>
        </w:rPr>
        <w:t xml:space="preserve"> Bied als alternatief een iets kleinere setting aan (bijvoorbeeld verdediging voor twee in plaats van vier rolspelers), zonder de inhoudelijke eisen te verlagen. Het gaat om de inhoud, niet om de theatrale druk.</w:t>
      </w:r>
    </w:p>
    <w:p>
      <w:pPr>
        <w:spacing w:after="180" w:line="300"/>
        <w:jc w:val="both"/>
      </w:pPr>
      <w:r>
        <w:rPr>
          <w:rFonts w:ascii="Calibri" w:cs="Calibri" w:eastAsia="Calibri" w:hAnsi="Calibri"/>
          <w:b/>
          <w:bCs/>
          <w:color w:val="1B2A4A"/>
          <w:sz w:val="21"/>
          <w:szCs w:val="21"/>
        </w:rPr>
        <w:t xml:space="preserve">Ervaren presentatoren.</w:t>
      </w:r>
      <w:r>
        <w:rPr>
          <w:rFonts w:ascii="Calibri" w:cs="Calibri" w:eastAsia="Calibri" w:hAnsi="Calibri"/>
          <w:color w:val="1A1A1A"/>
          <w:sz w:val="21"/>
          <w:szCs w:val="21"/>
        </w:rPr>
        <w:t xml:space="preserve"> Kunnen de neiging hebben de verdediging te ‘verkopen’ met overtuigingskracht in plaats van inhoud. Stuur de rolspelers in dat geval bewust naar concrete, feitelijke vragen (‘welke score had dit risico vóór de respons, en welke erna?’) om te zorgen dat de inhoud, niet de presentatie, wordt getoetst.</w:t>
      </w:r>
    </w:p>
    <w:p>
      <w:pPr>
        <w:pStyle w:val="Heading2"/>
        <w:spacing w:after="160" w:before="360"/>
      </w:pPr>
      <w:r>
        <w:rPr>
          <w:rFonts w:ascii="Calibri" w:cs="Calibri" w:eastAsia="Calibri" w:hAnsi="Calibri"/>
          <w:b/>
          <w:bCs/>
          <w:color w:val="2C5AA0"/>
          <w:sz w:val="26"/>
          <w:szCs w:val="26"/>
        </w:rPr>
        <w:t xml:space="preserve">Rolinstructie voor de stuurgroepspelers</w:t>
      </w:r>
    </w:p>
    <w:p>
      <w:pPr>
        <w:spacing w:after="180" w:line="300"/>
        <w:jc w:val="both"/>
      </w:pPr>
      <w:r>
        <w:rPr>
          <w:rFonts w:ascii="Calibri" w:cs="Calibri" w:eastAsia="Calibri" w:hAnsi="Calibri"/>
          <w:color w:val="1A1A1A"/>
          <w:sz w:val="21"/>
          <w:szCs w:val="21"/>
        </w:rPr>
        <w:t xml:space="preserve">Deel dit kort uit of bespreek het mondeling vóór de verdedigingen beginnen:</w:t>
      </w:r>
    </w:p>
    <w:p>
      <w:pPr>
        <w:spacing w:after="180" w:line="300"/>
        <w:jc w:val="both"/>
      </w:pPr>
      <w:r>
        <w:rPr>
          <w:rFonts w:ascii="Calibri" w:cs="Calibri" w:eastAsia="Calibri" w:hAnsi="Calibri"/>
          <w:b/>
          <w:bCs/>
          <w:color w:val="1B2A4A"/>
          <w:sz w:val="21"/>
          <w:szCs w:val="21"/>
        </w:rPr>
        <w:t xml:space="preserve">De sceptische opdrachtgever:</w:t>
      </w:r>
      <w:r>
        <w:rPr>
          <w:rFonts w:ascii="Calibri" w:cs="Calibri" w:eastAsia="Calibri" w:hAnsi="Calibri"/>
          <w:color w:val="1A1A1A"/>
          <w:sz w:val="21"/>
          <w:szCs w:val="21"/>
        </w:rPr>
        <w:t xml:space="preserve"> vraag door op herhaling — ‘we deden toch ook al iets met risico's de vorige keer, wat is hier nu anders?’ Wees niet vijandig, wees oprecht kritisch.</w:t>
      </w:r>
    </w:p>
    <w:p>
      <w:pPr>
        <w:spacing w:after="180" w:line="300"/>
        <w:jc w:val="both"/>
      </w:pPr>
      <w:r>
        <w:rPr>
          <w:rFonts w:ascii="Calibri" w:cs="Calibri" w:eastAsia="Calibri" w:hAnsi="Calibri"/>
          <w:b/>
          <w:bCs/>
          <w:color w:val="1B2A4A"/>
          <w:sz w:val="21"/>
          <w:szCs w:val="21"/>
        </w:rPr>
        <w:t xml:space="preserve">De financiële man/vrouw:</w:t>
      </w:r>
      <w:r>
        <w:rPr>
          <w:rFonts w:ascii="Calibri" w:cs="Calibri" w:eastAsia="Calibri" w:hAnsi="Calibri"/>
          <w:color w:val="1A1A1A"/>
          <w:sz w:val="21"/>
          <w:szCs w:val="21"/>
        </w:rPr>
        <w:t xml:space="preserve"> vraag bij elke respons naar de kosten-batenafweging. Als die niet expliciet is gemaakt, vraag er specifiek naar.</w:t>
      </w:r>
    </w:p>
    <w:p>
      <w:pPr>
        <w:spacing w:after="180" w:line="300"/>
        <w:jc w:val="both"/>
      </w:pPr>
      <w:r>
        <w:rPr>
          <w:rFonts w:ascii="Calibri" w:cs="Calibri" w:eastAsia="Calibri" w:hAnsi="Calibri"/>
          <w:b/>
          <w:bCs/>
          <w:color w:val="1B2A4A"/>
          <w:sz w:val="21"/>
          <w:szCs w:val="21"/>
        </w:rPr>
        <w:t xml:space="preserve">De compliance-vertegenwoordiger:</w:t>
      </w:r>
      <w:r>
        <w:rPr>
          <w:rFonts w:ascii="Calibri" w:cs="Calibri" w:eastAsia="Calibri" w:hAnsi="Calibri"/>
          <w:color w:val="1A1A1A"/>
          <w:sz w:val="21"/>
          <w:szCs w:val="21"/>
        </w:rPr>
        <w:t xml:space="preserve"> vraag naar de koppeling met wettelijke verplichtingen — ook als de presentator dat niet uit zichzelf noemt.</w:t>
      </w:r>
    </w:p>
    <w:p>
      <w:pPr>
        <w:spacing w:after="180" w:line="300"/>
        <w:jc w:val="both"/>
      </w:pPr>
      <w:r>
        <w:rPr>
          <w:rFonts w:ascii="Calibri" w:cs="Calibri" w:eastAsia="Calibri" w:hAnsi="Calibri"/>
          <w:b/>
          <w:bCs/>
          <w:color w:val="1B2A4A"/>
          <w:sz w:val="21"/>
          <w:szCs w:val="21"/>
        </w:rPr>
        <w:t xml:space="preserve">De voormalige projectmanager van WGP 2.0:</w:t>
      </w:r>
      <w:r>
        <w:rPr>
          <w:rFonts w:ascii="Calibri" w:cs="Calibri" w:eastAsia="Calibri" w:hAnsi="Calibri"/>
          <w:color w:val="1A1A1A"/>
          <w:sz w:val="21"/>
          <w:szCs w:val="21"/>
        </w:rPr>
        <w:t xml:space="preserve"> speel iemand die het gevoel heeft dat ‘dit soort dingen al eens geprobeerd is’. Dit is de rol die het vierde rubriekcriterium het scherpst test.</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Het proefexamen, bij voorkeur met een zichtbare countdown-timer voor de tijdsdruk-ervaring.</w:t>
      </w:r>
    </w:p>
    <w:p>
      <w:pPr>
        <w:pStyle w:val="ListParagraph"/>
        <w:numPr>
          <w:ilvl w:val="0"/>
          <w:numId w:val="2"/>
        </w:numPr>
        <w:spacing w:after="100" w:line="280"/>
      </w:pPr>
      <w:r>
        <w:rPr>
          <w:rFonts w:ascii="Calibri" w:cs="Calibri" w:eastAsia="Calibri" w:hAnsi="Calibri"/>
          <w:color w:val="1A1A1A"/>
          <w:sz w:val="21"/>
          <w:szCs w:val="21"/>
        </w:rPr>
        <w:t xml:space="preserve">Rolkaarten voor de vier stuurgroeprollen, uitgedeeld vóór de voorbereidingstijd zodat rolspelers zich kunnen inleven.</w:t>
      </w:r>
    </w:p>
    <w:p>
      <w:pPr>
        <w:pStyle w:val="ListParagraph"/>
        <w:numPr>
          <w:ilvl w:val="0"/>
          <w:numId w:val="2"/>
        </w:numPr>
        <w:spacing w:after="100" w:line="280"/>
      </w:pPr>
      <w:r>
        <w:rPr>
          <w:rFonts w:ascii="Calibri" w:cs="Calibri" w:eastAsia="Calibri" w:hAnsi="Calibri"/>
          <w:color w:val="1A1A1A"/>
          <w:sz w:val="21"/>
          <w:szCs w:val="21"/>
        </w:rPr>
        <w:t xml:space="preserve">De rubric (paragraaf 10.4 van de reader) als scoreformulier, één per verdediging.</w:t>
      </w:r>
    </w:p>
    <w:p>
      <w:pPr>
        <w:pStyle w:val="Heading2"/>
        <w:spacing w:after="160" w:before="360"/>
      </w:pPr>
      <w:r>
        <w:rPr>
          <w:rFonts w:ascii="Calibri" w:cs="Calibri" w:eastAsia="Calibri" w:hAnsi="Calibri"/>
          <w:b/>
          <w:bCs/>
          <w:color w:val="2C5AA0"/>
          <w:sz w:val="26"/>
          <w:szCs w:val="26"/>
        </w:rPr>
        <w:t xml:space="preserve">Afsluiting van niveau 1</w:t>
      </w:r>
    </w:p>
    <w:p>
      <w:pPr>
        <w:spacing w:after="180" w:line="300"/>
        <w:jc w:val="both"/>
      </w:pPr>
      <w:r>
        <w:rPr>
          <w:rFonts w:ascii="Calibri" w:cs="Calibri" w:eastAsia="Calibri" w:hAnsi="Calibri"/>
          <w:color w:val="1A1A1A"/>
          <w:sz w:val="21"/>
          <w:szCs w:val="21"/>
        </w:rPr>
        <w:t xml:space="preserve">Sluit het dagdeel — en daarmee niveau 1 — af met een korte terugblik op de negen voorgaande delen: van zevenenveertig regels zonder betekenis naar een instrumentarium dat, stuk voor stuk, elk faalpunt heeft opgelost. Benoem expliciet dat niveau 2 een andere schaal introduceert (Programma Mutatieplatform, vijf projecten, geaggregeerd risico) en een zwaardere certificeringslijn (M_o_R 4 Practitioner), zodat deelnemers weten wat hen te wachten staat.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2026-08-16T10:21:59.418Z</dcterms:created>
  <dcterms:modified xsi:type="dcterms:W3CDTF">2026-08-16T10:21:59.419Z</dcterms:modified>
</cp:coreProperties>
</file>

<file path=docProps/custom.xml><?xml version="1.0" encoding="utf-8"?>
<Properties xmlns="http://schemas.openxmlformats.org/officeDocument/2006/custom-properties" xmlns:vt="http://schemas.openxmlformats.org/officeDocument/2006/docPropsVTypes"/>
</file>