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000"/>
      </w:pPr>
    </w:p>
    <w:p>
      <w:pPr>
        <w:jc w:val="center"/>
      </w:pPr>
      <w:r>
        <w:rPr>
          <w:rFonts w:ascii="Calibri" w:cs="Calibri" w:eastAsia="Calibri" w:hAnsi="Calibri"/>
          <w:b/>
          <w:bCs/>
          <w:color w:val="1B2A4A"/>
          <w:sz w:val="44"/>
          <w:szCs w:val="44"/>
        </w:rPr>
        <w:t xml:space="preserve">RISICOMANAGEMENT</w:t>
      </w:r>
    </w:p>
    <w:p>
      <w:pPr>
        <w:spacing w:before="300"/>
        <w:jc w:val="center"/>
      </w:pPr>
      <w:r>
        <w:rPr>
          <w:rFonts w:ascii="Calibri" w:cs="Calibri" w:eastAsia="Calibri" w:hAnsi="Calibri"/>
          <w:color w:val="2C5AA0"/>
          <w:sz w:val="32"/>
          <w:szCs w:val="32"/>
        </w:rPr>
        <w:t xml:space="preserve">Deel 10 — Examentraining en capstone: de verdediging</w:t>
      </w:r>
    </w:p>
    <w:p>
      <w:pPr>
        <w:spacing w:before="600"/>
        <w:jc w:val="center"/>
      </w:pPr>
      <w:r>
        <w:rPr>
          <w:rFonts w:ascii="Calibri" w:cs="Calibri" w:eastAsia="Calibri" w:hAnsi="Calibri"/>
          <w:b/>
          <w:bCs/>
          <w:color w:val="1B2A4A"/>
          <w:sz w:val="24"/>
          <w:szCs w:val="24"/>
        </w:rPr>
        <w:t xml:space="preserve">Niveau 1 — Fundament</w:t>
      </w:r>
    </w:p>
    <w:p>
      <w:pPr>
        <w:spacing w:before="200"/>
        <w:jc w:val="center"/>
      </w:pPr>
      <w:r>
        <w:rPr>
          <w:rFonts w:ascii="Calibri" w:cs="Calibri" w:eastAsia="Calibri" w:hAnsi="Calibri"/>
          <w:i/>
          <w:iCs/>
          <w:color w:val="D99A3D"/>
          <w:sz w:val="24"/>
          <w:szCs w:val="24"/>
        </w:rPr>
        <w:t xml:space="preserve">Reader</w:t>
      </w:r>
    </w:p>
    <w:p>
      <w:pPr>
        <w:spacing w:before="1200"/>
        <w:jc w:val="center"/>
      </w:pPr>
      <w:r>
        <w:rPr>
          <w:rFonts w:ascii="Calibri" w:cs="Calibri" w:eastAsia="Calibri" w:hAnsi="Calibri"/>
          <w:color w:val="8B93A5"/>
          <w:sz w:val="20"/>
          <w:szCs w:val="20"/>
        </w:rPr>
        <w:t xml:space="preserve">Ductus</w:t>
      </w:r>
    </w:p>
    <w:p>
      <w:r>
        <w:br w:type="page"/>
      </w:r>
    </w:p>
    <w:p>
      <w:pPr>
        <w:pStyle w:val="Heading1"/>
        <w:pBdr>
          <w:bottom w:val="single" w:color="1B2A4A" w:sz="6" w:space="4"/>
        </w:pBdr>
        <w:spacing w:after="240" w:before="480"/>
      </w:pPr>
      <w:r>
        <w:rPr>
          <w:rFonts w:ascii="Calibri" w:cs="Calibri" w:eastAsia="Calibri" w:hAnsi="Calibri"/>
          <w:b/>
          <w:bCs/>
          <w:color w:val="1B2A4A"/>
          <w:sz w:val="32"/>
          <w:szCs w:val="32"/>
        </w:rPr>
        <w:t xml:space="preserve">Deel 10 — Examentraining en capstone: de verdediging</w:t>
      </w:r>
    </w:p>
    <w:p>
      <w:pPr>
        <w:pStyle w:val="Heading2"/>
        <w:spacing w:after="160" w:before="360"/>
      </w:pPr>
      <w:r>
        <w:rPr>
          <w:rFonts w:ascii="Calibri" w:cs="Calibri" w:eastAsia="Calibri" w:hAnsi="Calibri"/>
          <w:b/>
          <w:bCs/>
          <w:color w:val="2C5AA0"/>
          <w:sz w:val="26"/>
          <w:szCs w:val="26"/>
        </w:rPr>
        <w:t xml:space="preserve">10.0 De dag van de verdediging</w:t>
      </w:r>
    </w:p>
    <w:p>
      <w:pPr>
        <w:spacing w:after="180" w:line="300"/>
        <w:jc w:val="both"/>
      </w:pPr>
      <w:r>
        <w:rPr>
          <w:rFonts w:ascii="Calibri" w:cs="Calibri" w:eastAsia="Calibri" w:hAnsi="Calibri"/>
          <w:color w:val="1A1A1A"/>
          <w:sz w:val="21"/>
          <w:szCs w:val="21"/>
        </w:rPr>
        <w:t xml:space="preserve">Zes maanden na de eerste sessie uit deel 4 staat Sanne Bakhuis voor de stuurgroep van WGP 2.0. Niet om te melden dat er een probleem is — dat was de vorige keer de enige reden dat het projectrisico ooit ter sprake kwam. Ze is er om het complete instrumentarium te presenteren waarmee de herstart wordt gevolgd: het context- en criteriadocument, het register met negentien risico's, het escalatiedocument, en de governance-inrichting eromheen.</w:t>
      </w:r>
    </w:p>
    <w:p>
      <w:pPr>
        <w:spacing w:after="180" w:line="300"/>
        <w:jc w:val="both"/>
      </w:pPr>
      <w:r>
        <w:rPr>
          <w:rFonts w:ascii="Calibri" w:cs="Calibri" w:eastAsia="Calibri" w:hAnsi="Calibri"/>
          <w:color w:val="1A1A1A"/>
          <w:sz w:val="21"/>
          <w:szCs w:val="21"/>
        </w:rPr>
        <w:t xml:space="preserve">Dit is de scène waarin de capstone van dit deel zich afspeelt. Maar eerst: het CRMF-examen, waar niveau 1 formeel op voorbereidt.</w:t>
      </w:r>
    </w:p>
    <w:p>
      <w:pPr>
        <w:pStyle w:val="Heading2"/>
        <w:spacing w:after="160" w:before="360"/>
      </w:pPr>
      <w:r>
        <w:rPr>
          <w:rFonts w:ascii="Calibri" w:cs="Calibri" w:eastAsia="Calibri" w:hAnsi="Calibri"/>
          <w:b/>
          <w:bCs/>
          <w:color w:val="2C5AA0"/>
          <w:sz w:val="26"/>
          <w:szCs w:val="26"/>
        </w:rPr>
        <w:t xml:space="preserve">10.1 Het CRMF-examenformat</w:t>
      </w:r>
    </w:p>
    <w:p>
      <w:pPr>
        <w:spacing w:after="180" w:line="300"/>
        <w:jc w:val="both"/>
      </w:pPr>
      <w:r>
        <w:rPr>
          <w:rFonts w:ascii="Calibri" w:cs="Calibri" w:eastAsia="Calibri" w:hAnsi="Calibri"/>
          <w:color w:val="1A1A1A"/>
          <w:sz w:val="21"/>
          <w:szCs w:val="21"/>
        </w:rPr>
        <w:t xml:space="preserve">Zoals in deel 1 geverifieerd: het ISO 31000 Foundations-certificaat (CRMF, uitgegeven door GN-IC volgens ISO/IEC 17024) bestaat uit tachtig meerkeuzevragen, af te leggen in twee uur, met een slagingsgrens van 75 procent. Het examen toetst kennis van de richtlijn ISO 31000 zelf — principes, raamwerk, proces — en de kernbegrippen uit ISO 31073.</w:t>
      </w:r>
    </w:p>
    <w:p>
      <w:pPr>
        <w:spacing w:after="180" w:line="300"/>
        <w:jc w:val="both"/>
      </w:pPr>
      <w:r>
        <w:rPr>
          <w:rFonts w:ascii="Calibri" w:cs="Calibri" w:eastAsia="Calibri" w:hAnsi="Calibri"/>
          <w:color w:val="1A1A1A"/>
          <w:sz w:val="21"/>
          <w:szCs w:val="21"/>
        </w:rPr>
        <w:t xml:space="preserve">Drie praktische tips voor de voorbereiding, gebaseerd op hoe dit soort examens doorgaans zijn opgebouwd:</w:t>
      </w:r>
    </w:p>
    <w:p>
      <w:pPr>
        <w:spacing w:after="180" w:line="300"/>
        <w:jc w:val="both"/>
      </w:pPr>
      <w:r>
        <w:rPr>
          <w:rFonts w:ascii="Calibri" w:cs="Calibri" w:eastAsia="Calibri" w:hAnsi="Calibri"/>
          <w:b/>
          <w:bCs/>
          <w:color w:val="1B2A4A"/>
          <w:sz w:val="21"/>
          <w:szCs w:val="21"/>
        </w:rPr>
        <w:t xml:space="preserve">Verwacht scenariovragen naast definitievragen.</w:t>
      </w:r>
      <w:r>
        <w:rPr>
          <w:rFonts w:ascii="Calibri" w:cs="Calibri" w:eastAsia="Calibri" w:hAnsi="Calibri"/>
          <w:color w:val="1A1A1A"/>
          <w:sz w:val="21"/>
          <w:szCs w:val="21"/>
        </w:rPr>
        <w:t xml:space="preserve"> Niet alleen ‘wat is de definitie van risico’, maar ook ‘een organisatie doet X, welk principe wordt hier geschonden’. De opdrachten in deze cursus — met name de toepassingen op de Meridiaan-casus — zijn hier bewust op voorbereid.</w:t>
      </w:r>
    </w:p>
    <w:p>
      <w:pPr>
        <w:spacing w:after="180" w:line="300"/>
        <w:jc w:val="both"/>
      </w:pPr>
      <w:r>
        <w:rPr>
          <w:rFonts w:ascii="Calibri" w:cs="Calibri" w:eastAsia="Calibri" w:hAnsi="Calibri"/>
          <w:b/>
          <w:bCs/>
          <w:color w:val="1B2A4A"/>
          <w:sz w:val="21"/>
          <w:szCs w:val="21"/>
        </w:rPr>
        <w:t xml:space="preserve">Ken het onderscheid tussen wat ISO 31000 wél en niet regelt (deel 2).</w:t>
      </w:r>
      <w:r>
        <w:rPr>
          <w:rFonts w:ascii="Calibri" w:cs="Calibri" w:eastAsia="Calibri" w:hAnsi="Calibri"/>
          <w:color w:val="1A1A1A"/>
          <w:sz w:val="21"/>
          <w:szCs w:val="21"/>
        </w:rPr>
        <w:t xml:space="preserve"> Vragen die een andere standaard (COSO, M_o_R) als ISO 31000-principe framen, zijn een klassieke afleider.</w:t>
      </w:r>
    </w:p>
    <w:p>
      <w:pPr>
        <w:spacing w:after="180" w:line="300"/>
        <w:jc w:val="both"/>
      </w:pPr>
      <w:r>
        <w:rPr>
          <w:rFonts w:ascii="Calibri" w:cs="Calibri" w:eastAsia="Calibri" w:hAnsi="Calibri"/>
          <w:b/>
          <w:bCs/>
          <w:color w:val="1B2A4A"/>
          <w:sz w:val="21"/>
          <w:szCs w:val="21"/>
        </w:rPr>
        <w:t xml:space="preserve">Oefen met tijdsdruk.</w:t>
      </w:r>
      <w:r>
        <w:rPr>
          <w:rFonts w:ascii="Calibri" w:cs="Calibri" w:eastAsia="Calibri" w:hAnsi="Calibri"/>
          <w:color w:val="1A1A1A"/>
          <w:sz w:val="21"/>
          <w:szCs w:val="21"/>
        </w:rPr>
        <w:t xml:space="preserve"> Twee uur voor tachtig vragen is anderhalve minuut per vraag. Het proefexamen in het werkboek van dit deel is bewust met tijdslimiet te oefenen.</w:t>
      </w:r>
    </w:p>
    <w:p>
      <w:pPr>
        <w:pStyle w:val="Heading2"/>
        <w:spacing w:after="160" w:before="360"/>
      </w:pPr>
      <w:r>
        <w:rPr>
          <w:rFonts w:ascii="Calibri" w:cs="Calibri" w:eastAsia="Calibri" w:hAnsi="Calibri"/>
          <w:b/>
          <w:bCs/>
          <w:color w:val="2C5AA0"/>
          <w:sz w:val="26"/>
          <w:szCs w:val="26"/>
        </w:rPr>
        <w:t xml:space="preserve">10.2 Niveau 1 in overzicht</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1122"/>
        <w:gridCol w:w="8228"/>
      </w:tblGrid>
      <w:tr>
        <w:trPr>
          <w:tblHeader/>
        </w:trPr>
        <w:tc>
          <w:tcPr>
            <w:tcW w:type="pct" w:w="12%"/>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Deel</w:t>
            </w:r>
          </w:p>
        </w:tc>
        <w:tc>
          <w:tcPr>
            <w:tcW w:type="pct" w:w="88%"/>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Kernbegrip</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1</w:t>
            </w:r>
          </w:p>
        </w:tc>
        <w:tc>
          <w:tcPr>
            <w:tcW w:type="pct" w:w="8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Risico = effect van onzekerheid op doelstellingen; de risicozin; vijf faalpunten als agenda</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2</w:t>
            </w:r>
          </w:p>
        </w:tc>
        <w:tc>
          <w:tcPr>
            <w:tcW w:type="pct" w:w="8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Drie lagen van een standaard; ISO 31000/COSO/M_o_R/Orange Book; Meridiaans keuze</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3</w:t>
            </w:r>
          </w:p>
        </w:tc>
        <w:tc>
          <w:tcPr>
            <w:tcW w:type="pct" w:w="8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De procescyclus; context en criteria; Kernzin 2 (score zonder criterium)</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4</w:t>
            </w:r>
          </w:p>
        </w:tc>
        <w:tc>
          <w:tcPr>
            <w:tcW w:type="pct" w:w="8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Vijf identificatietechnieken; van ruwe input naar risicozin</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5</w:t>
            </w:r>
          </w:p>
        </w:tc>
        <w:tc>
          <w:tcPr>
            <w:tcW w:type="pct" w:w="8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Kwalitatief scoren; drie matrixvalkuilen; Kernzin 3 (lage kans, hoge impact)</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6</w:t>
            </w:r>
          </w:p>
        </w:tc>
        <w:tc>
          <w:tcPr>
            <w:tcW w:type="pct" w:w="8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Vijf/vier responsstrategieën; Kernzin 4 (accepteren vs negeren); secundair risico</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7</w:t>
            </w:r>
          </w:p>
        </w:tc>
        <w:tc>
          <w:tcPr>
            <w:tcW w:type="pct" w:w="8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Eigenaar vs actiehouder; dertien registerkolommen; registerverwildering</w:t>
            </w:r>
          </w:p>
        </w:tc>
      </w:tr>
      <w:tr>
        <w:tc>
          <w:tcPr>
            <w:tcW w:type="pct" w:w="12%"/>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8</w:t>
            </w:r>
          </w:p>
        </w:tc>
        <w:tc>
          <w:tcPr>
            <w:tcW w:type="pct" w:w="88%"/>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Toleranties; Kernzin 5 (escaleren is een grens, geen moed); KRI's; escalatieladder</w:t>
            </w:r>
          </w:p>
        </w:tc>
      </w:tr>
      <w:tr>
        <w:tc>
          <w:tcPr>
            <w:tcW w:type="pct" w:w="12%"/>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9</w:t>
            </w:r>
          </w:p>
        </w:tc>
        <w:tc>
          <w:tcPr>
            <w:tcW w:type="pct" w:w="88%"/>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Three lines of defence; Kernzin 6 (mandaat vs beslissingsmacht)</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Zes kernzinnen, vijf faalpunten, één doorlopende casus. Dit overzicht is tevens de kapstok voor het proefexamen in het werkboek.</w:t>
      </w:r>
    </w:p>
    <w:p>
      <w:pPr>
        <w:pStyle w:val="Heading2"/>
        <w:spacing w:after="160" w:before="360"/>
      </w:pPr>
      <w:r>
        <w:rPr>
          <w:rFonts w:ascii="Calibri" w:cs="Calibri" w:eastAsia="Calibri" w:hAnsi="Calibri"/>
          <w:b/>
          <w:bCs/>
          <w:color w:val="2C5AA0"/>
          <w:sz w:val="26"/>
          <w:szCs w:val="26"/>
        </w:rPr>
        <w:t xml:space="preserve">10.3 De capstone-opdracht</w:t>
      </w:r>
    </w:p>
    <w:p>
      <w:pPr>
        <w:spacing w:after="180" w:line="300"/>
        <w:jc w:val="both"/>
      </w:pPr>
      <w:r>
        <w:rPr>
          <w:rFonts w:ascii="Calibri" w:cs="Calibri" w:eastAsia="Calibri" w:hAnsi="Calibri"/>
          <w:b/>
          <w:bCs/>
          <w:color w:val="1B2A4A"/>
          <w:sz w:val="21"/>
          <w:szCs w:val="21"/>
        </w:rPr>
        <w:t xml:space="preserve">Opdracht:</w:t>
      </w:r>
      <w:r>
        <w:rPr>
          <w:rFonts w:ascii="Calibri" w:cs="Calibri" w:eastAsia="Calibri" w:hAnsi="Calibri"/>
          <w:color w:val="1A1A1A"/>
          <w:sz w:val="21"/>
          <w:szCs w:val="21"/>
        </w:rPr>
        <w:t xml:space="preserve"> je bent Sanne Bakhuis (of een vergelijkbare rol in je eigen organisatie). Bereid een verdediging voor van maximaal vijftien minuten, gevolgd door tien minuten kritische bevraging door de stuurgroep, waarin je het complete instrumentarium voor de WGP 2.0-herstart presenteert:</w:t>
      </w:r>
    </w:p>
    <w:p>
      <w:pPr>
        <w:pStyle w:val="ListParagraph"/>
        <w:numPr>
          <w:ilvl w:val="0"/>
          <w:numId w:val="2"/>
        </w:numPr>
        <w:spacing w:after="100" w:line="280"/>
      </w:pPr>
      <w:r>
        <w:rPr>
          <w:rFonts w:ascii="Calibri" w:cs="Calibri" w:eastAsia="Calibri" w:hAnsi="Calibri"/>
          <w:color w:val="1A1A1A"/>
          <w:sz w:val="21"/>
          <w:szCs w:val="21"/>
        </w:rPr>
        <w:t xml:space="preserve">1. Het context- en criteriadocument (kort — de kern, niet elk detail)</w:t>
      </w:r>
    </w:p>
    <w:p>
      <w:pPr>
        <w:pStyle w:val="ListParagraph"/>
        <w:numPr>
          <w:ilvl w:val="0"/>
          <w:numId w:val="2"/>
        </w:numPr>
        <w:spacing w:after="100" w:line="280"/>
      </w:pPr>
      <w:r>
        <w:rPr>
          <w:rFonts w:ascii="Calibri" w:cs="Calibri" w:eastAsia="Calibri" w:hAnsi="Calibri"/>
          <w:color w:val="1A1A1A"/>
          <w:sz w:val="21"/>
          <w:szCs w:val="21"/>
        </w:rPr>
        <w:t xml:space="preserve">2. Twee tot drie risico's uit het register, volledig uitgewerkt: risicozin, analyse (inherent en residueel), gekozen respons met onderbouwing, eigenaar</w:t>
      </w:r>
    </w:p>
    <w:p>
      <w:pPr>
        <w:pStyle w:val="ListParagraph"/>
        <w:numPr>
          <w:ilvl w:val="0"/>
          <w:numId w:val="2"/>
        </w:numPr>
        <w:spacing w:after="100" w:line="280"/>
      </w:pPr>
      <w:r>
        <w:rPr>
          <w:rFonts w:ascii="Calibri" w:cs="Calibri" w:eastAsia="Calibri" w:hAnsi="Calibri"/>
          <w:color w:val="1A1A1A"/>
          <w:sz w:val="21"/>
          <w:szCs w:val="21"/>
        </w:rPr>
        <w:t xml:space="preserve">3. Het escalatiedocument: minstens één tolerantie en één KRI, toegelicht</w:t>
      </w:r>
    </w:p>
    <w:p>
      <w:pPr>
        <w:pStyle w:val="ListParagraph"/>
        <w:numPr>
          <w:ilvl w:val="0"/>
          <w:numId w:val="2"/>
        </w:numPr>
        <w:spacing w:after="100" w:line="280"/>
      </w:pPr>
      <w:r>
        <w:rPr>
          <w:rFonts w:ascii="Calibri" w:cs="Calibri" w:eastAsia="Calibri" w:hAnsi="Calibri"/>
          <w:color w:val="1A1A1A"/>
          <w:sz w:val="21"/>
          <w:szCs w:val="21"/>
        </w:rPr>
        <w:t xml:space="preserve">4. De governance-inrichting: wie doet wat, hoe vaak</w:t>
      </w:r>
    </w:p>
    <w:p>
      <w:pPr>
        <w:spacing w:after="180" w:line="300"/>
        <w:jc w:val="both"/>
      </w:pPr>
      <w:r>
        <w:rPr>
          <w:rFonts w:ascii="Calibri" w:cs="Calibri" w:eastAsia="Calibri" w:hAnsi="Calibri"/>
          <w:b/>
          <w:bCs/>
          <w:color w:val="1B2A4A"/>
          <w:sz w:val="21"/>
          <w:szCs w:val="21"/>
        </w:rPr>
        <w:t xml:space="preserve">De stuurgroeprollen</w:t>
      </w:r>
      <w:r>
        <w:rPr>
          <w:rFonts w:ascii="Calibri" w:cs="Calibri" w:eastAsia="Calibri" w:hAnsi="Calibri"/>
          <w:color w:val="1A1A1A"/>
          <w:sz w:val="21"/>
          <w:szCs w:val="21"/>
        </w:rPr>
        <w:t xml:space="preserve">, in te vullen door medecursisten of docent:</w:t>
      </w:r>
    </w:p>
    <w:p>
      <w:pPr>
        <w:pStyle w:val="ListParagraph"/>
        <w:numPr>
          <w:ilvl w:val="0"/>
          <w:numId w:val="2"/>
        </w:numPr>
        <w:spacing w:after="100" w:line="280"/>
      </w:pPr>
      <w:r>
        <w:rPr>
          <w:rFonts w:ascii="Calibri" w:cs="Calibri" w:eastAsia="Calibri" w:hAnsi="Calibri"/>
          <w:color w:val="1A1A1A"/>
          <w:sz w:val="21"/>
          <w:szCs w:val="21"/>
        </w:rPr>
        <w:t xml:space="preserve">De sceptische opdrachtgever — vraagt door op ‘waarom nu wél, terwijl het de vorige keer ook zo leek te werken?’</w:t>
      </w:r>
    </w:p>
    <w:p>
      <w:pPr>
        <w:pStyle w:val="ListParagraph"/>
        <w:numPr>
          <w:ilvl w:val="0"/>
          <w:numId w:val="2"/>
        </w:numPr>
        <w:spacing w:after="100" w:line="280"/>
      </w:pPr>
      <w:r>
        <w:rPr>
          <w:rFonts w:ascii="Calibri" w:cs="Calibri" w:eastAsia="Calibri" w:hAnsi="Calibri"/>
          <w:color w:val="1A1A1A"/>
          <w:sz w:val="21"/>
          <w:szCs w:val="21"/>
        </w:rPr>
        <w:t xml:space="preserve">De financiële man/vrouw — vraagt door op de kosten-batenafweging bij elke gekozen respons</w:t>
      </w:r>
    </w:p>
    <w:p>
      <w:pPr>
        <w:pStyle w:val="ListParagraph"/>
        <w:numPr>
          <w:ilvl w:val="0"/>
          <w:numId w:val="2"/>
        </w:numPr>
        <w:spacing w:after="100" w:line="280"/>
      </w:pPr>
      <w:r>
        <w:rPr>
          <w:rFonts w:ascii="Calibri" w:cs="Calibri" w:eastAsia="Calibri" w:hAnsi="Calibri"/>
          <w:color w:val="1A1A1A"/>
          <w:sz w:val="21"/>
          <w:szCs w:val="21"/>
        </w:rPr>
        <w:t xml:space="preserve">De compliance-vertegenwoordiger — vraagt door op de koppeling met wettelijke verplichtingen en toezicht</w:t>
      </w:r>
    </w:p>
    <w:p>
      <w:pPr>
        <w:pStyle w:val="ListParagraph"/>
        <w:numPr>
          <w:ilvl w:val="0"/>
          <w:numId w:val="2"/>
        </w:numPr>
        <w:spacing w:after="100" w:line="280"/>
      </w:pPr>
      <w:r>
        <w:rPr>
          <w:rFonts w:ascii="Calibri" w:cs="Calibri" w:eastAsia="Calibri" w:hAnsi="Calibri"/>
          <w:color w:val="1A1A1A"/>
          <w:sz w:val="21"/>
          <w:szCs w:val="21"/>
        </w:rPr>
        <w:t xml:space="preserve">De voormalige projectmanager van WGP 2.0 — vraagt door vanuit persoonlijke ervaring: ‘dit hadden we toch ook geprobeerd?’</w:t>
      </w:r>
    </w:p>
    <w:p>
      <w:pPr>
        <w:spacing w:after="180" w:line="300"/>
        <w:jc w:val="both"/>
      </w:pPr>
      <w:r>
        <w:rPr>
          <w:rFonts w:ascii="Calibri" w:cs="Calibri" w:eastAsia="Calibri" w:hAnsi="Calibri"/>
          <w:color w:val="1A1A1A"/>
          <w:sz w:val="21"/>
          <w:szCs w:val="21"/>
        </w:rPr>
        <w:t xml:space="preserve">Elke rol heeft minstens één kritische vraag voorbereid, gebaseerd op een van de vijf faalpunten uit deel 1 — het is de bedoeling dat de presentator kan aantonen dat elk faalpunt daadwerkelijk is geadresseerd, niet alleen genoemd.</w:t>
      </w:r>
    </w:p>
    <w:p>
      <w:pPr>
        <w:pStyle w:val="Heading2"/>
        <w:spacing w:after="160" w:before="360"/>
      </w:pPr>
      <w:r>
        <w:rPr>
          <w:rFonts w:ascii="Calibri" w:cs="Calibri" w:eastAsia="Calibri" w:hAnsi="Calibri"/>
          <w:b/>
          <w:bCs/>
          <w:color w:val="2C5AA0"/>
          <w:sz w:val="26"/>
          <w:szCs w:val="26"/>
        </w:rPr>
        <w:t xml:space="preserve">10.4 Beoordelingsrubric</w:t>
      </w:r>
    </w:p>
    <w:p>
      <w:pPr>
        <w:spacing w:after="180" w:line="300"/>
        <w:jc w:val="both"/>
      </w:pPr>
      <w:r>
        <w:rPr>
          <w:rFonts w:ascii="Calibri" w:cs="Calibri" w:eastAsia="Calibri" w:hAnsi="Calibri"/>
          <w:color w:val="1A1A1A"/>
          <w:sz w:val="21"/>
          <w:szCs w:val="21"/>
        </w:rPr>
        <w:t xml:space="preserve">Vier criteria, elk te beoordelen op een schaal van 1 (onvoldoende) tot 4 (uitstekend):</w:t>
      </w:r>
    </w:p>
    <w:tbl>
      <w:tblPr>
        <w:tblW w:type="pct" w:w="100%"/>
        <w:tblBorders>
          <w:top w:val="single" w:color="C7CCD6" w:sz="2"/>
          <w:left w:val="single" w:color="C7CCD6" w:sz="2"/>
          <w:bottom w:val="single" w:color="C7CCD6" w:sz="2"/>
          <w:right w:val="single" w:color="C7CCD6" w:sz="2"/>
          <w:insideH w:val="single" w:color="C7CCD6" w:sz="2"/>
          <w:insideV w:val="single" w:color="C7CCD6" w:sz="2"/>
        </w:tblBorders>
      </w:tblPr>
      <w:tblGrid>
        <w:gridCol w:w="2805"/>
        <w:gridCol w:w="6545"/>
      </w:tblGrid>
      <w:tr>
        <w:trPr>
          <w:tblHeader/>
        </w:trPr>
        <w:tc>
          <w:tcPr>
            <w:tcW w:type="pct" w:w="3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Criterium</w:t>
            </w:r>
          </w:p>
        </w:tc>
        <w:tc>
          <w:tcPr>
            <w:tcW w:type="pct" w:w="70%"/>
            <w:shd w:fill="1B2A4A" w:color="auto" w:val="clear"/>
            <w:tcMar>
              <w:top w:type="dxa" w:w="120"/>
              <w:left w:type="dxa" w:w="160"/>
              <w:bottom w:type="dxa" w:w="120"/>
              <w:right w:type="dxa" w:w="160"/>
            </w:tcMar>
          </w:tcPr>
          <w:p>
            <w:r>
              <w:rPr>
                <w:rFonts w:ascii="Calibri" w:cs="Calibri" w:eastAsia="Calibri" w:hAnsi="Calibri"/>
                <w:b/>
                <w:bCs/>
                <w:color w:val="FFFFFF"/>
                <w:sz w:val="19"/>
                <w:szCs w:val="19"/>
              </w:rPr>
              <w:t xml:space="preserve">Wat wordt beoordeeld</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Vakmanschap</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Zijn de risicozinnen, scores en responsen technisch correct toegepast volgens de instrumenten uit deel 1-6?</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Volledigheid van het instrumentarium</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Zijn context, register, escalatie en governance alle vier aanwezig en onderling consistent?</w:t>
            </w:r>
          </w:p>
        </w:tc>
      </w:tr>
      <w:tr>
        <w:tc>
          <w:tcPr>
            <w:tcW w:type="pct" w:w="3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Verdedigbaarheid onder druk</w:t>
            </w:r>
          </w:p>
        </w:tc>
        <w:tc>
          <w:tcPr>
            <w:tcW w:type="pct" w:w="70%"/>
            <w:shd w:fill="FFFFFF" w:color="auto" w:val="clear"/>
            <w:tcMar>
              <w:top w:type="dxa" w:w="100"/>
              <w:left w:type="dxa" w:w="160"/>
              <w:bottom w:type="dxa" w:w="100"/>
              <w:right w:type="dxa" w:w="160"/>
            </w:tcMar>
          </w:tcPr>
          <w:p>
            <w:r>
              <w:rPr>
                <w:rFonts w:ascii="Calibri" w:cs="Calibri" w:eastAsia="Calibri" w:hAnsi="Calibri"/>
                <w:color w:val="1A1A1A"/>
                <w:sz w:val="19"/>
                <w:szCs w:val="19"/>
              </w:rPr>
              <w:t xml:space="preserve">Kan de presentator kritische vragen beantwoorden zonder terug te vallen op vage geruststellingen (‘dat komt wel goed’)?</w:t>
            </w:r>
          </w:p>
        </w:tc>
      </w:tr>
      <w:tr>
        <w:tc>
          <w:tcPr>
            <w:tcW w:type="pct" w:w="3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Aantoonbare les uit WGP 2.0</w:t>
            </w:r>
          </w:p>
        </w:tc>
        <w:tc>
          <w:tcPr>
            <w:tcW w:type="pct" w:w="70%"/>
            <w:shd w:fill="F4F6F9" w:color="auto" w:val="clear"/>
            <w:tcMar>
              <w:top w:type="dxa" w:w="100"/>
              <w:left w:type="dxa" w:w="160"/>
              <w:bottom w:type="dxa" w:w="100"/>
              <w:right w:type="dxa" w:w="160"/>
            </w:tcMar>
          </w:tcPr>
          <w:p>
            <w:r>
              <w:rPr>
                <w:rFonts w:ascii="Calibri" w:cs="Calibri" w:eastAsia="Calibri" w:hAnsi="Calibri"/>
                <w:color w:val="1A1A1A"/>
                <w:sz w:val="19"/>
                <w:szCs w:val="19"/>
              </w:rPr>
              <w:t xml:space="preserve">Wordt expliciet gemaakt welk van de vijf faalpunten met welk instrument is opgelost — niet alleen ‘we hebben nu een register’, maar ‘dit specifieke probleem van de vorige keer wordt hierdoor voorkomen’?</w:t>
            </w:r>
          </w:p>
        </w:tc>
      </w:tr>
    </w:tbl>
    <w:p>
      <w:pPr>
        <w:spacing w:after="180" w:line="300"/>
        <w:jc w:val="both"/>
      </w:pPr>
      <w:r>
        <w:rPr>
          <w:rFonts w:ascii="Calibri" w:cs="Calibri" w:eastAsia="Calibri" w:hAnsi="Calibri"/>
          <w:color w:val="1A1A1A"/>
          <w:sz w:val="21"/>
          <w:szCs w:val="21"/>
        </w:rPr>
        <w:t xml:space="preserve"/>
      </w:r>
    </w:p>
    <w:p>
      <w:pPr>
        <w:spacing w:after="180" w:line="300"/>
        <w:jc w:val="both"/>
      </w:pPr>
      <w:r>
        <w:rPr>
          <w:rFonts w:ascii="Calibri" w:cs="Calibri" w:eastAsia="Calibri" w:hAnsi="Calibri"/>
          <w:color w:val="1A1A1A"/>
          <w:sz w:val="21"/>
          <w:szCs w:val="21"/>
        </w:rPr>
        <w:t xml:space="preserve">Het vierde criterium is doorslaggevend bij twijfel. Een technisch onberispelijk register dat niet expliciet teruggrijpt op de lessen van WGP 2.0, mist het punt van deze hele cursus — Kernzin 1 herhaald, nu toegepast op de eigen verdediging: heeft dit instrumentarium een besluit veranderd, of is het een nette exercitie die op zichzelf staat?</w:t>
      </w:r>
    </w:p>
    <w:p>
      <w:pPr>
        <w:pStyle w:val="Heading2"/>
        <w:spacing w:after="160" w:before="360"/>
      </w:pPr>
      <w:r>
        <w:rPr>
          <w:rFonts w:ascii="Calibri" w:cs="Calibri" w:eastAsia="Calibri" w:hAnsi="Calibri"/>
          <w:b/>
          <w:bCs/>
          <w:color w:val="2C5AA0"/>
          <w:sz w:val="26"/>
          <w:szCs w:val="26"/>
        </w:rPr>
        <w:t xml:space="preserve">10.5 Terugblik op de cursusboog van niveau 1</w:t>
      </w:r>
    </w:p>
    <w:p>
      <w:pPr>
        <w:spacing w:after="180" w:line="300"/>
        <w:jc w:val="both"/>
      </w:pPr>
      <w:r>
        <w:rPr>
          <w:rFonts w:ascii="Calibri" w:cs="Calibri" w:eastAsia="Calibri" w:hAnsi="Calibri"/>
          <w:color w:val="1A1A1A"/>
          <w:sz w:val="21"/>
          <w:szCs w:val="21"/>
        </w:rPr>
        <w:t xml:space="preserve">Deel 1 begon met zevenenveertig regels en drie oorzaken die er niet in stonden. Negen delen later staat er een instrumentarium dat, stap voor stap, elk van de vijf faalpunten heeft geadresseerd — niet als abstracte theorie, maar toegepast op precies dat register, precies dat project, precies die organisatie.</w:t>
      </w:r>
    </w:p>
    <w:p>
      <w:pPr>
        <w:spacing w:after="180" w:line="300"/>
        <w:jc w:val="both"/>
      </w:pPr>
      <w:r>
        <w:rPr>
          <w:rFonts w:ascii="Calibri" w:cs="Calibri" w:eastAsia="Calibri" w:hAnsi="Calibri"/>
          <w:color w:val="1A1A1A"/>
          <w:sz w:val="21"/>
          <w:szCs w:val="21"/>
        </w:rPr>
        <w:t xml:space="preserve">Wat niveau 1 bewust niet heeft gedaan: kwantitatieve techniek (Monte Carlo, verwachtingswaarden), risico op programmaschaal aggregeren, en de volle governance-inrichting van een risicofunctie. Dat is niet vergeten — het is niveau 2, waar de casus verschuift naar het Programma Mutatieplatform en de vraag groter wordt: wat gebeurt er als je niet één project maar vijf tegelijk moet beheersen, met risico's die elkaar raken op een manier die dit niveau nog niet heeft behandeld?</w:t>
      </w:r>
    </w:p>
    <w:p>
      <w:pPr>
        <w:pStyle w:val="Heading2"/>
        <w:spacing w:after="160" w:before="360"/>
      </w:pPr>
      <w:r>
        <w:rPr>
          <w:rFonts w:ascii="Calibri" w:cs="Calibri" w:eastAsia="Calibri" w:hAnsi="Calibri"/>
          <w:b/>
          <w:bCs/>
          <w:color w:val="2C5AA0"/>
          <w:sz w:val="26"/>
          <w:szCs w:val="26"/>
        </w:rPr>
        <w:t xml:space="preserve">Samenvatting van deel 10</w:t>
      </w:r>
    </w:p>
    <w:p>
      <w:pPr>
        <w:pStyle w:val="ListParagraph"/>
        <w:numPr>
          <w:ilvl w:val="0"/>
          <w:numId w:val="2"/>
        </w:numPr>
        <w:spacing w:after="100" w:line="280"/>
      </w:pPr>
      <w:r>
        <w:rPr>
          <w:rFonts w:ascii="Calibri" w:cs="Calibri" w:eastAsia="Calibri" w:hAnsi="Calibri"/>
          <w:color w:val="1A1A1A"/>
          <w:sz w:val="21"/>
          <w:szCs w:val="21"/>
        </w:rPr>
        <w:t xml:space="preserve">Het CRMF-examen: tachtig meerkeuzevragen, twee uur, 75 procent — scenariovragen naast definitievragen, met het onderscheid tussen standaarden (deel 2) als klassieke valkuil.</w:t>
      </w:r>
    </w:p>
    <w:p>
      <w:pPr>
        <w:pStyle w:val="ListParagraph"/>
        <w:numPr>
          <w:ilvl w:val="0"/>
          <w:numId w:val="2"/>
        </w:numPr>
        <w:spacing w:after="100" w:line="280"/>
      </w:pPr>
      <w:r>
        <w:rPr>
          <w:rFonts w:ascii="Calibri" w:cs="Calibri" w:eastAsia="Calibri" w:hAnsi="Calibri"/>
          <w:color w:val="1A1A1A"/>
          <w:sz w:val="21"/>
          <w:szCs w:val="21"/>
        </w:rPr>
        <w:t xml:space="preserve">Niveau 1 in één oogopslag: negen delen, vijf faalpunten, zes kernzinnen.</w:t>
      </w:r>
    </w:p>
    <w:p>
      <w:pPr>
        <w:pStyle w:val="ListParagraph"/>
        <w:numPr>
          <w:ilvl w:val="0"/>
          <w:numId w:val="2"/>
        </w:numPr>
        <w:spacing w:after="100" w:line="280"/>
      </w:pPr>
      <w:r>
        <w:rPr>
          <w:rFonts w:ascii="Calibri" w:cs="Calibri" w:eastAsia="Calibri" w:hAnsi="Calibri"/>
          <w:color w:val="1A1A1A"/>
          <w:sz w:val="21"/>
          <w:szCs w:val="21"/>
        </w:rPr>
        <w:t xml:space="preserve">De capstone verdedigt het complete instrumentarium — context, register, escalatie, governance — voor vier kritische stuurgroeprollen, elk gekoppeld aan een faalpunt uit deel 1.</w:t>
      </w:r>
    </w:p>
    <w:p>
      <w:pPr>
        <w:pStyle w:val="ListParagraph"/>
        <w:numPr>
          <w:ilvl w:val="0"/>
          <w:numId w:val="2"/>
        </w:numPr>
        <w:spacing w:after="100" w:line="280"/>
      </w:pPr>
      <w:r>
        <w:rPr>
          <w:rFonts w:ascii="Calibri" w:cs="Calibri" w:eastAsia="Calibri" w:hAnsi="Calibri"/>
          <w:color w:val="1A1A1A"/>
          <w:sz w:val="21"/>
          <w:szCs w:val="21"/>
        </w:rPr>
        <w:t xml:space="preserve">Vier beoordelingscriteria: vakmanschap, volledigheid, verdedigbaarheid onder druk, en — doorslaggevend — de aantoonbare koppeling tussen instrument en de les van WGP 2.0.</w:t>
      </w:r>
    </w:p>
    <w:p>
      <w:pPr>
        <w:pStyle w:val="Heading2"/>
        <w:spacing w:after="160" w:before="360"/>
      </w:pPr>
      <w:r>
        <w:rPr>
          <w:rFonts w:ascii="Calibri" w:cs="Calibri" w:eastAsia="Calibri" w:hAnsi="Calibri"/>
          <w:b/>
          <w:bCs/>
          <w:color w:val="2C5AA0"/>
          <w:sz w:val="26"/>
          <w:szCs w:val="26"/>
        </w:rPr>
        <w:t xml:space="preserve">Vooruitblik</w:t>
      </w:r>
    </w:p>
    <w:p>
      <w:pPr>
        <w:spacing w:after="180" w:line="300"/>
        <w:jc w:val="both"/>
      </w:pPr>
      <w:r>
        <w:rPr>
          <w:rFonts w:ascii="Calibri" w:cs="Calibri" w:eastAsia="Calibri" w:hAnsi="Calibri"/>
          <w:color w:val="1A1A1A"/>
          <w:sz w:val="21"/>
          <w:szCs w:val="21"/>
        </w:rPr>
        <w:t xml:space="preserve">Niveau 2 verschuift de casus naar het Programma Mutatieplatform: vijf projecten tegelijk, geaggregeerd risico, en de volle uitwerking van M_o_R 4 als certificeringslijn. Deel 11 opent met de vraag waar PM-cursus deel 18 bewust stopte: wat doe je met risico dat niet bij één project hoort, maar overal tegelijk speelt?</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04" w:hanging="288"/>
      </w:pPr>
    </w:lvl>
    <w:lvl w:ilvl="1" w15:tentative="1">
      <w:start w:val="1"/>
      <w:numFmt w:val="bullet"/>
      <w:lvlText w:val="◦"/>
      <w:lvlJc w:val="left"/>
      <w:pPr>
        <w:ind w:left="1008"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2026-08-16T10:19:42.494Z</dcterms:created>
  <dcterms:modified xsi:type="dcterms:W3CDTF">2026-08-16T10:19:42.496Z</dcterms:modified>
</cp:coreProperties>
</file>

<file path=docProps/custom.xml><?xml version="1.0" encoding="utf-8"?>
<Properties xmlns="http://schemas.openxmlformats.org/officeDocument/2006/custom-properties" xmlns:vt="http://schemas.openxmlformats.org/officeDocument/2006/docPropsVTypes"/>
</file>