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10 — Examentraining en capstone: de verdediging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10 — Werkboek</w:t>
      </w:r>
    </w:p>
    <w:p>
      <w:pPr>
        <w:spacing w:after="180" w:line="300"/>
        <w:jc w:val="both"/>
      </w:pPr>
      <w:r>
        <w:rPr>
          <w:rFonts w:ascii="Calibri" w:cs="Calibri" w:eastAsia="Calibri" w:hAnsi="Calibri"/>
          <w:i/>
          <w:iCs/>
          <w:color w:val="1A1A1A"/>
          <w:sz w:val="21"/>
          <w:szCs w:val="21"/>
        </w:rPr>
        <w:t xml:space="preserve">Dit werkboek bevat een proefexamen in CRMF-stijl (twintig vragen, oefenformaat van het echte tachtig-vragen-examen) en een voorbereidingschecklist voor de capstone. De vragen zijn in de stijl van het examen geschreven, geen letterlijke examenvragen — controleer bij inschrijving altijd het actuele examenformat bij GN-IC of je opleider.</w:t>
      </w:r>
    </w:p>
    <w:p>
      <w:pPr>
        <w:pStyle w:val="Heading2"/>
        <w:spacing w:after="160" w:before="360"/>
      </w:pPr>
      <w:r>
        <w:rPr>
          <w:rFonts w:ascii="Calibri" w:cs="Calibri" w:eastAsia="Calibri" w:hAnsi="Calibri"/>
          <w:b/>
          <w:bCs/>
          <w:color w:val="2C5AA0"/>
          <w:sz w:val="26"/>
          <w:szCs w:val="26"/>
        </w:rPr>
        <w:t xml:space="preserve">Proefexamen — 20 vragen, aanbevolen tijd: 30 minuten</w:t>
      </w:r>
    </w:p>
    <w:p>
      <w:pPr>
        <w:spacing w:after="80" w:before="200"/>
      </w:pPr>
      <w:r>
        <w:rPr>
          <w:rFonts w:ascii="Calibri" w:cs="Calibri" w:eastAsia="Calibri" w:hAnsi="Calibri"/>
          <w:b/>
          <w:bCs/>
          <w:color w:val="1B2A4A"/>
          <w:sz w:val="21"/>
          <w:szCs w:val="21"/>
        </w:rPr>
        <w:t xml:space="preserve">1. Volgens ISO 31000 is risico:</w:t>
      </w:r>
    </w:p>
    <w:p>
      <w:pPr>
        <w:spacing w:after="40"/>
        <w:ind w:left="300"/>
      </w:pPr>
      <w:r>
        <w:rPr>
          <w:rFonts w:ascii="Calibri" w:cs="Calibri" w:eastAsia="Calibri" w:hAnsi="Calibri"/>
          <w:color w:val="1A1A1A"/>
          <w:sz w:val="20"/>
          <w:szCs w:val="20"/>
        </w:rPr>
        <w:t xml:space="preserve">A. Elke gebeurtenis met een negatief gevolg</w:t>
      </w:r>
    </w:p>
    <w:p>
      <w:pPr>
        <w:spacing w:after="40"/>
        <w:ind w:left="300"/>
      </w:pPr>
      <w:r>
        <w:rPr>
          <w:rFonts w:ascii="Calibri" w:cs="Calibri" w:eastAsia="Calibri" w:hAnsi="Calibri"/>
          <w:color w:val="1A1A1A"/>
          <w:sz w:val="20"/>
          <w:szCs w:val="20"/>
        </w:rPr>
        <w:t xml:space="preserve">B. Het effect van onzekerheid op het behalen van doelstellingen</w:t>
      </w:r>
    </w:p>
    <w:p>
      <w:pPr>
        <w:spacing w:after="40"/>
        <w:ind w:left="300"/>
      </w:pPr>
      <w:r>
        <w:rPr>
          <w:rFonts w:ascii="Calibri" w:cs="Calibri" w:eastAsia="Calibri" w:hAnsi="Calibri"/>
          <w:color w:val="1A1A1A"/>
          <w:sz w:val="20"/>
          <w:szCs w:val="20"/>
        </w:rPr>
        <w:t xml:space="preserve">C. De kans dat een project vertraging oploopt</w:t>
      </w:r>
    </w:p>
    <w:p>
      <w:pPr>
        <w:spacing w:after="40"/>
        <w:ind w:left="300"/>
      </w:pPr>
      <w:r>
        <w:rPr>
          <w:rFonts w:ascii="Calibri" w:cs="Calibri" w:eastAsia="Calibri" w:hAnsi="Calibri"/>
          <w:color w:val="1A1A1A"/>
          <w:sz w:val="20"/>
          <w:szCs w:val="20"/>
        </w:rPr>
        <w:t xml:space="preserve">D. Een gebeurtenis die zich al heeft voorgedaan</w:t>
      </w:r>
    </w:p>
    <w:p>
      <w:pPr>
        <w:spacing w:after="80" w:before="200"/>
      </w:pPr>
      <w:r>
        <w:rPr>
          <w:rFonts w:ascii="Calibri" w:cs="Calibri" w:eastAsia="Calibri" w:hAnsi="Calibri"/>
          <w:b/>
          <w:bCs/>
          <w:color w:val="1B2A4A"/>
          <w:sz w:val="21"/>
          <w:szCs w:val="21"/>
        </w:rPr>
        <w:t xml:space="preserve">2. Welke van de volgende is GEEN van de acht principes van ISO 31000?</w:t>
      </w:r>
    </w:p>
    <w:p>
      <w:pPr>
        <w:spacing w:after="40"/>
        <w:ind w:left="300"/>
      </w:pPr>
      <w:r>
        <w:rPr>
          <w:rFonts w:ascii="Calibri" w:cs="Calibri" w:eastAsia="Calibri" w:hAnsi="Calibri"/>
          <w:color w:val="1A1A1A"/>
          <w:sz w:val="20"/>
          <w:szCs w:val="20"/>
        </w:rPr>
        <w:t xml:space="preserve">A. Geïntegreerd</w:t>
      </w:r>
    </w:p>
    <w:p>
      <w:pPr>
        <w:spacing w:after="40"/>
        <w:ind w:left="300"/>
      </w:pPr>
      <w:r>
        <w:rPr>
          <w:rFonts w:ascii="Calibri" w:cs="Calibri" w:eastAsia="Calibri" w:hAnsi="Calibri"/>
          <w:color w:val="1A1A1A"/>
          <w:sz w:val="20"/>
          <w:szCs w:val="20"/>
        </w:rPr>
        <w:t xml:space="preserve">B. Op maat</w:t>
      </w:r>
    </w:p>
    <w:p>
      <w:pPr>
        <w:spacing w:after="40"/>
        <w:ind w:left="300"/>
      </w:pPr>
      <w:r>
        <w:rPr>
          <w:rFonts w:ascii="Calibri" w:cs="Calibri" w:eastAsia="Calibri" w:hAnsi="Calibri"/>
          <w:color w:val="1A1A1A"/>
          <w:sz w:val="20"/>
          <w:szCs w:val="20"/>
        </w:rPr>
        <w:t xml:space="preserve">C. Kostenneutraal</w:t>
      </w:r>
    </w:p>
    <w:p>
      <w:pPr>
        <w:spacing w:after="40"/>
        <w:ind w:left="300"/>
      </w:pPr>
      <w:r>
        <w:rPr>
          <w:rFonts w:ascii="Calibri" w:cs="Calibri" w:eastAsia="Calibri" w:hAnsi="Calibri"/>
          <w:color w:val="1A1A1A"/>
          <w:sz w:val="20"/>
          <w:szCs w:val="20"/>
        </w:rPr>
        <w:t xml:space="preserve">D. Systematisch, gestructureerd en tijdig</w:t>
      </w:r>
    </w:p>
    <w:p>
      <w:pPr>
        <w:spacing w:after="80" w:before="200"/>
      </w:pPr>
      <w:r>
        <w:rPr>
          <w:rFonts w:ascii="Calibri" w:cs="Calibri" w:eastAsia="Calibri" w:hAnsi="Calibri"/>
          <w:b/>
          <w:bCs/>
          <w:color w:val="1B2A4A"/>
          <w:sz w:val="21"/>
          <w:szCs w:val="21"/>
        </w:rPr>
        <w:t xml:space="preserve">3. Het begrippenkader van ISO 31000 staat sinds 2018 in:</w:t>
      </w:r>
    </w:p>
    <w:p>
      <w:pPr>
        <w:spacing w:after="40"/>
        <w:ind w:left="300"/>
      </w:pPr>
      <w:r>
        <w:rPr>
          <w:rFonts w:ascii="Calibri" w:cs="Calibri" w:eastAsia="Calibri" w:hAnsi="Calibri"/>
          <w:color w:val="1A1A1A"/>
          <w:sz w:val="20"/>
          <w:szCs w:val="20"/>
        </w:rPr>
        <w:t xml:space="preserve">A. ISO 31000 zelf, hoofdstuk 3</w:t>
      </w:r>
    </w:p>
    <w:p>
      <w:pPr>
        <w:spacing w:after="40"/>
        <w:ind w:left="300"/>
      </w:pPr>
      <w:r>
        <w:rPr>
          <w:rFonts w:ascii="Calibri" w:cs="Calibri" w:eastAsia="Calibri" w:hAnsi="Calibri"/>
          <w:color w:val="1A1A1A"/>
          <w:sz w:val="20"/>
          <w:szCs w:val="20"/>
        </w:rPr>
        <w:t xml:space="preserve">B. ISO 31073</w:t>
      </w:r>
    </w:p>
    <w:p>
      <w:pPr>
        <w:spacing w:after="40"/>
        <w:ind w:left="300"/>
      </w:pPr>
      <w:r>
        <w:rPr>
          <w:rFonts w:ascii="Calibri" w:cs="Calibri" w:eastAsia="Calibri" w:hAnsi="Calibri"/>
          <w:color w:val="1A1A1A"/>
          <w:sz w:val="20"/>
          <w:szCs w:val="20"/>
        </w:rPr>
        <w:t xml:space="preserve">C. ISO 9001</w:t>
      </w:r>
    </w:p>
    <w:p>
      <w:pPr>
        <w:spacing w:after="40"/>
        <w:ind w:left="300"/>
      </w:pPr>
      <w:r>
        <w:rPr>
          <w:rFonts w:ascii="Calibri" w:cs="Calibri" w:eastAsia="Calibri" w:hAnsi="Calibri"/>
          <w:color w:val="1A1A1A"/>
          <w:sz w:val="20"/>
          <w:szCs w:val="20"/>
        </w:rPr>
        <w:t xml:space="preserve">D. Het Orange Book</w:t>
      </w:r>
    </w:p>
    <w:p>
      <w:pPr>
        <w:spacing w:after="80" w:before="200"/>
      </w:pPr>
      <w:r>
        <w:rPr>
          <w:rFonts w:ascii="Calibri" w:cs="Calibri" w:eastAsia="Calibri" w:hAnsi="Calibri"/>
          <w:b/>
          <w:bCs/>
          <w:color w:val="1B2A4A"/>
          <w:sz w:val="21"/>
          <w:szCs w:val="21"/>
        </w:rPr>
        <w:t xml:space="preserve">4. Een organisatie kan zich, strikt genomen, NIET laten certificeren tegen:</w:t>
      </w:r>
    </w:p>
    <w:p>
      <w:pPr>
        <w:spacing w:after="40"/>
        <w:ind w:left="300"/>
      </w:pPr>
      <w:r>
        <w:rPr>
          <w:rFonts w:ascii="Calibri" w:cs="Calibri" w:eastAsia="Calibri" w:hAnsi="Calibri"/>
          <w:color w:val="1A1A1A"/>
          <w:sz w:val="20"/>
          <w:szCs w:val="20"/>
        </w:rPr>
        <w:t xml:space="preserve">A. ISO 31000</w:t>
      </w:r>
    </w:p>
    <w:p>
      <w:pPr>
        <w:spacing w:after="40"/>
        <w:ind w:left="300"/>
      </w:pPr>
      <w:r>
        <w:rPr>
          <w:rFonts w:ascii="Calibri" w:cs="Calibri" w:eastAsia="Calibri" w:hAnsi="Calibri"/>
          <w:color w:val="1A1A1A"/>
          <w:sz w:val="20"/>
          <w:szCs w:val="20"/>
        </w:rPr>
        <w:t xml:space="preserve">B. CRMF</w:t>
      </w:r>
    </w:p>
    <w:p>
      <w:pPr>
        <w:spacing w:after="40"/>
        <w:ind w:left="300"/>
      </w:pPr>
      <w:r>
        <w:rPr>
          <w:rFonts w:ascii="Calibri" w:cs="Calibri" w:eastAsia="Calibri" w:hAnsi="Calibri"/>
          <w:color w:val="1A1A1A"/>
          <w:sz w:val="20"/>
          <w:szCs w:val="20"/>
        </w:rPr>
        <w:t xml:space="preserve">C. RIMS-CRMP</w:t>
      </w:r>
    </w:p>
    <w:p>
      <w:pPr>
        <w:spacing w:after="40"/>
        <w:ind w:left="300"/>
      </w:pPr>
      <w:r>
        <w:rPr>
          <w:rFonts w:ascii="Calibri" w:cs="Calibri" w:eastAsia="Calibri" w:hAnsi="Calibri"/>
          <w:color w:val="1A1A1A"/>
          <w:sz w:val="20"/>
          <w:szCs w:val="20"/>
        </w:rPr>
        <w:t xml:space="preserve">D. Geen van de bovenstaande — alle drie zijn organisatiecertificeringen</w:t>
      </w:r>
    </w:p>
    <w:p>
      <w:pPr>
        <w:spacing w:after="80" w:before="200"/>
      </w:pPr>
      <w:r>
        <w:rPr>
          <w:rFonts w:ascii="Calibri" w:cs="Calibri" w:eastAsia="Calibri" w:hAnsi="Calibri"/>
          <w:b/>
          <w:bCs/>
          <w:color w:val="1B2A4A"/>
          <w:sz w:val="21"/>
          <w:szCs w:val="21"/>
        </w:rPr>
        <w:t xml:space="preserve">5. M_o_R 4 onderscheidt zich vooral van ISO 31000 door:</w:t>
      </w:r>
    </w:p>
    <w:p>
      <w:pPr>
        <w:spacing w:after="40"/>
        <w:ind w:left="300"/>
      </w:pPr>
      <w:r>
        <w:rPr>
          <w:rFonts w:ascii="Calibri" w:cs="Calibri" w:eastAsia="Calibri" w:hAnsi="Calibri"/>
          <w:color w:val="1A1A1A"/>
          <w:sz w:val="20"/>
          <w:szCs w:val="20"/>
        </w:rPr>
        <w:t xml:space="preserve">A. Een sterkere koppeling aan strategie</w:t>
      </w:r>
    </w:p>
    <w:p>
      <w:pPr>
        <w:spacing w:after="40"/>
        <w:ind w:left="300"/>
      </w:pPr>
      <w:r>
        <w:rPr>
          <w:rFonts w:ascii="Calibri" w:cs="Calibri" w:eastAsia="Calibri" w:hAnsi="Calibri"/>
          <w:color w:val="1A1A1A"/>
          <w:sz w:val="20"/>
          <w:szCs w:val="20"/>
        </w:rPr>
        <w:t xml:space="preserve">B. Zes expliciete perspectieven (strategisch tot operationeel)</w:t>
      </w:r>
    </w:p>
    <w:p>
      <w:pPr>
        <w:spacing w:after="40"/>
        <w:ind w:left="300"/>
      </w:pPr>
      <w:r>
        <w:rPr>
          <w:rFonts w:ascii="Calibri" w:cs="Calibri" w:eastAsia="Calibri" w:hAnsi="Calibri"/>
          <w:color w:val="1A1A1A"/>
          <w:sz w:val="20"/>
          <w:szCs w:val="20"/>
        </w:rPr>
        <w:t xml:space="preserve">C. Het ontbreken van een procesmodel</w:t>
      </w:r>
    </w:p>
    <w:p>
      <w:pPr>
        <w:spacing w:after="40"/>
        <w:ind w:left="300"/>
      </w:pPr>
      <w:r>
        <w:rPr>
          <w:rFonts w:ascii="Calibri" w:cs="Calibri" w:eastAsia="Calibri" w:hAnsi="Calibri"/>
          <w:color w:val="1A1A1A"/>
          <w:sz w:val="20"/>
          <w:szCs w:val="20"/>
        </w:rPr>
        <w:t xml:space="preserve">D. Het uitsluiten van kwalitatieve analyse</w:t>
      </w:r>
    </w:p>
    <w:p>
      <w:pPr>
        <w:spacing w:after="80" w:before="200"/>
      </w:pPr>
      <w:r>
        <w:rPr>
          <w:rFonts w:ascii="Calibri" w:cs="Calibri" w:eastAsia="Calibri" w:hAnsi="Calibri"/>
          <w:b/>
          <w:bCs/>
          <w:color w:val="1B2A4A"/>
          <w:sz w:val="21"/>
          <w:szCs w:val="21"/>
        </w:rPr>
        <w:t xml:space="preserve">6. COSO ERM 2017 koppelt risico primair aan:</w:t>
      </w:r>
    </w:p>
    <w:p>
      <w:pPr>
        <w:spacing w:after="40"/>
        <w:ind w:left="300"/>
      </w:pPr>
      <w:r>
        <w:rPr>
          <w:rFonts w:ascii="Calibri" w:cs="Calibri" w:eastAsia="Calibri" w:hAnsi="Calibri"/>
          <w:color w:val="1A1A1A"/>
          <w:sz w:val="20"/>
          <w:szCs w:val="20"/>
        </w:rPr>
        <w:t xml:space="preserve">A. IT-beveiliging</w:t>
      </w:r>
    </w:p>
    <w:p>
      <w:pPr>
        <w:spacing w:after="40"/>
        <w:ind w:left="300"/>
      </w:pPr>
      <w:r>
        <w:rPr>
          <w:rFonts w:ascii="Calibri" w:cs="Calibri" w:eastAsia="Calibri" w:hAnsi="Calibri"/>
          <w:color w:val="1A1A1A"/>
          <w:sz w:val="20"/>
          <w:szCs w:val="20"/>
        </w:rPr>
        <w:t xml:space="preserve">B. Strategie en doelbepaling</w:t>
      </w:r>
    </w:p>
    <w:p>
      <w:pPr>
        <w:spacing w:after="40"/>
        <w:ind w:left="300"/>
      </w:pPr>
      <w:r>
        <w:rPr>
          <w:rFonts w:ascii="Calibri" w:cs="Calibri" w:eastAsia="Calibri" w:hAnsi="Calibri"/>
          <w:color w:val="1A1A1A"/>
          <w:sz w:val="20"/>
          <w:szCs w:val="20"/>
        </w:rPr>
        <w:t xml:space="preserve">C. Projectplanning</w:t>
      </w:r>
    </w:p>
    <w:p>
      <w:pPr>
        <w:spacing w:after="40"/>
        <w:ind w:left="300"/>
      </w:pPr>
      <w:r>
        <w:rPr>
          <w:rFonts w:ascii="Calibri" w:cs="Calibri" w:eastAsia="Calibri" w:hAnsi="Calibri"/>
          <w:color w:val="1A1A1A"/>
          <w:sz w:val="20"/>
          <w:szCs w:val="20"/>
        </w:rPr>
        <w:t xml:space="preserve">D. Wettelijke naleving alleen</w:t>
      </w:r>
    </w:p>
    <w:p>
      <w:pPr>
        <w:spacing w:after="80" w:before="200"/>
      </w:pPr>
      <w:r>
        <w:rPr>
          <w:rFonts w:ascii="Calibri" w:cs="Calibri" w:eastAsia="Calibri" w:hAnsi="Calibri"/>
          <w:b/>
          <w:bCs/>
          <w:color w:val="1B2A4A"/>
          <w:sz w:val="21"/>
          <w:szCs w:val="21"/>
        </w:rPr>
        <w:t xml:space="preserve">7. In de risicozin “doordat X, kan Y, waardoor Z” hoort de oorzaak (X) te zijn:</w:t>
      </w:r>
    </w:p>
    <w:p>
      <w:pPr>
        <w:spacing w:after="40"/>
        <w:ind w:left="300"/>
      </w:pPr>
      <w:r>
        <w:rPr>
          <w:rFonts w:ascii="Calibri" w:cs="Calibri" w:eastAsia="Calibri" w:hAnsi="Calibri"/>
          <w:color w:val="1A1A1A"/>
          <w:sz w:val="20"/>
          <w:szCs w:val="20"/>
        </w:rPr>
        <w:t xml:space="preserve">A. Een onzekere toekomstige gebeurtenis</w:t>
      </w:r>
    </w:p>
    <w:p>
      <w:pPr>
        <w:spacing w:after="40"/>
        <w:ind w:left="300"/>
      </w:pPr>
      <w:r>
        <w:rPr>
          <w:rFonts w:ascii="Calibri" w:cs="Calibri" w:eastAsia="Calibri" w:hAnsi="Calibri"/>
          <w:color w:val="1A1A1A"/>
          <w:sz w:val="20"/>
          <w:szCs w:val="20"/>
        </w:rPr>
        <w:t xml:space="preserve">B. Een feit dat vandaag al vaststaat</w:t>
      </w:r>
    </w:p>
    <w:p>
      <w:pPr>
        <w:spacing w:after="40"/>
        <w:ind w:left="300"/>
      </w:pPr>
      <w:r>
        <w:rPr>
          <w:rFonts w:ascii="Calibri" w:cs="Calibri" w:eastAsia="Calibri" w:hAnsi="Calibri"/>
          <w:color w:val="1A1A1A"/>
          <w:sz w:val="20"/>
          <w:szCs w:val="20"/>
        </w:rPr>
        <w:t xml:space="preserve">C. Het gevolg van het risico</w:t>
      </w:r>
    </w:p>
    <w:p>
      <w:pPr>
        <w:spacing w:after="40"/>
        <w:ind w:left="300"/>
      </w:pPr>
      <w:r>
        <w:rPr>
          <w:rFonts w:ascii="Calibri" w:cs="Calibri" w:eastAsia="Calibri" w:hAnsi="Calibri"/>
          <w:color w:val="1A1A1A"/>
          <w:sz w:val="20"/>
          <w:szCs w:val="20"/>
        </w:rPr>
        <w:t xml:space="preserve">D. Altijd een menselijke fout</w:t>
      </w:r>
    </w:p>
    <w:p>
      <w:pPr>
        <w:spacing w:after="80" w:before="200"/>
      </w:pPr>
      <w:r>
        <w:rPr>
          <w:rFonts w:ascii="Calibri" w:cs="Calibri" w:eastAsia="Calibri" w:hAnsi="Calibri"/>
          <w:b/>
          <w:bCs/>
          <w:color w:val="1B2A4A"/>
          <w:sz w:val="21"/>
          <w:szCs w:val="21"/>
        </w:rPr>
        <w:t xml:space="preserve">8. Wat is het belangrijkste verschil tussen een risico en een issue?</w:t>
      </w:r>
    </w:p>
    <w:p>
      <w:pPr>
        <w:spacing w:after="40"/>
        <w:ind w:left="300"/>
      </w:pPr>
      <w:r>
        <w:rPr>
          <w:rFonts w:ascii="Calibri" w:cs="Calibri" w:eastAsia="Calibri" w:hAnsi="Calibri"/>
          <w:color w:val="1A1A1A"/>
          <w:sz w:val="20"/>
          <w:szCs w:val="20"/>
        </w:rPr>
        <w:t xml:space="preserve">A. Een issue heeft altijd een hogere impact</w:t>
      </w:r>
    </w:p>
    <w:p>
      <w:pPr>
        <w:spacing w:after="40"/>
        <w:ind w:left="300"/>
      </w:pPr>
      <w:r>
        <w:rPr>
          <w:rFonts w:ascii="Calibri" w:cs="Calibri" w:eastAsia="Calibri" w:hAnsi="Calibri"/>
          <w:color w:val="1A1A1A"/>
          <w:sz w:val="20"/>
          <w:szCs w:val="20"/>
        </w:rPr>
        <w:t xml:space="preserve">B. Een risico kan zich nog voordoen, een issue is al gebeurd of zeker geworden</w:t>
      </w:r>
    </w:p>
    <w:p>
      <w:pPr>
        <w:spacing w:after="40"/>
        <w:ind w:left="300"/>
      </w:pPr>
      <w:r>
        <w:rPr>
          <w:rFonts w:ascii="Calibri" w:cs="Calibri" w:eastAsia="Calibri" w:hAnsi="Calibri"/>
          <w:color w:val="1A1A1A"/>
          <w:sz w:val="20"/>
          <w:szCs w:val="20"/>
        </w:rPr>
        <w:t xml:space="preserve">C. Een issue heeft geen eigenaar nodig</w:t>
      </w:r>
    </w:p>
    <w:p>
      <w:pPr>
        <w:spacing w:after="40"/>
        <w:ind w:left="300"/>
      </w:pPr>
      <w:r>
        <w:rPr>
          <w:rFonts w:ascii="Calibri" w:cs="Calibri" w:eastAsia="Calibri" w:hAnsi="Calibri"/>
          <w:color w:val="1A1A1A"/>
          <w:sz w:val="20"/>
          <w:szCs w:val="20"/>
        </w:rPr>
        <w:t xml:space="preserve">D. Er is geen verschil, de termen zijn uitwisselbaar</w:t>
      </w:r>
    </w:p>
    <w:p>
      <w:pPr>
        <w:spacing w:after="80" w:before="200"/>
      </w:pPr>
      <w:r>
        <w:rPr>
          <w:rFonts w:ascii="Calibri" w:cs="Calibri" w:eastAsia="Calibri" w:hAnsi="Calibri"/>
          <w:b/>
          <w:bCs/>
          <w:color w:val="1B2A4A"/>
          <w:sz w:val="21"/>
          <w:szCs w:val="21"/>
        </w:rPr>
        <w:t xml:space="preserve">9. Context bepalen komt in de ISO 31000-procescyclus:</w:t>
      </w:r>
    </w:p>
    <w:p>
      <w:pPr>
        <w:spacing w:after="40"/>
        <w:ind w:left="300"/>
      </w:pPr>
      <w:r>
        <w:rPr>
          <w:rFonts w:ascii="Calibri" w:cs="Calibri" w:eastAsia="Calibri" w:hAnsi="Calibri"/>
          <w:color w:val="1A1A1A"/>
          <w:sz w:val="20"/>
          <w:szCs w:val="20"/>
        </w:rPr>
        <w:t xml:space="preserve">A. Na risicobehandeling</w:t>
      </w:r>
    </w:p>
    <w:p>
      <w:pPr>
        <w:spacing w:after="40"/>
        <w:ind w:left="300"/>
      </w:pPr>
      <w:r>
        <w:rPr>
          <w:rFonts w:ascii="Calibri" w:cs="Calibri" w:eastAsia="Calibri" w:hAnsi="Calibri"/>
          <w:color w:val="1A1A1A"/>
          <w:sz w:val="20"/>
          <w:szCs w:val="20"/>
        </w:rPr>
        <w:t xml:space="preserve">B. Als laatste stap, ter afronding</w:t>
      </w:r>
    </w:p>
    <w:p>
      <w:pPr>
        <w:spacing w:after="40"/>
        <w:ind w:left="300"/>
      </w:pPr>
      <w:r>
        <w:rPr>
          <w:rFonts w:ascii="Calibri" w:cs="Calibri" w:eastAsia="Calibri" w:hAnsi="Calibri"/>
          <w:color w:val="1A1A1A"/>
          <w:sz w:val="20"/>
          <w:szCs w:val="20"/>
        </w:rPr>
        <w:t xml:space="preserve">C. Vóór risicobeoordeling</w:t>
      </w:r>
    </w:p>
    <w:p>
      <w:pPr>
        <w:spacing w:after="40"/>
        <w:ind w:left="300"/>
      </w:pPr>
      <w:r>
        <w:rPr>
          <w:rFonts w:ascii="Calibri" w:cs="Calibri" w:eastAsia="Calibri" w:hAnsi="Calibri"/>
          <w:color w:val="1A1A1A"/>
          <w:sz w:val="20"/>
          <w:szCs w:val="20"/>
        </w:rPr>
        <w:t xml:space="preserve">D. Alleen bij grote projecten</w:t>
      </w:r>
    </w:p>
    <w:p>
      <w:pPr>
        <w:spacing w:after="80" w:before="200"/>
      </w:pPr>
      <w:r>
        <w:rPr>
          <w:rFonts w:ascii="Calibri" w:cs="Calibri" w:eastAsia="Calibri" w:hAnsi="Calibri"/>
          <w:b/>
          <w:bCs/>
          <w:color w:val="1B2A4A"/>
          <w:sz w:val="21"/>
          <w:szCs w:val="21"/>
        </w:rPr>
        <w:t xml:space="preserve">10. Een risicocriterium dat luidt “aanzienlijke impact op de reputatie” is problematisch omdat:</w:t>
      </w:r>
    </w:p>
    <w:p>
      <w:pPr>
        <w:spacing w:after="40"/>
        <w:ind w:left="300"/>
      </w:pPr>
      <w:r>
        <w:rPr>
          <w:rFonts w:ascii="Calibri" w:cs="Calibri" w:eastAsia="Calibri" w:hAnsi="Calibri"/>
          <w:color w:val="1A1A1A"/>
          <w:sz w:val="20"/>
          <w:szCs w:val="20"/>
        </w:rPr>
        <w:t xml:space="preserve">A. Reputatie geen geldig criterium is</w:t>
      </w:r>
    </w:p>
    <w:p>
      <w:pPr>
        <w:spacing w:after="40"/>
        <w:ind w:left="300"/>
      </w:pPr>
      <w:r>
        <w:rPr>
          <w:rFonts w:ascii="Calibri" w:cs="Calibri" w:eastAsia="Calibri" w:hAnsi="Calibri"/>
          <w:color w:val="1A1A1A"/>
          <w:sz w:val="20"/>
          <w:szCs w:val="20"/>
        </w:rPr>
        <w:t xml:space="preserve">B. Het geen concreet, verifieerbaar criterium bevat</w:t>
      </w:r>
    </w:p>
    <w:p>
      <w:pPr>
        <w:spacing w:after="40"/>
        <w:ind w:left="300"/>
      </w:pPr>
      <w:r>
        <w:rPr>
          <w:rFonts w:ascii="Calibri" w:cs="Calibri" w:eastAsia="Calibri" w:hAnsi="Calibri"/>
          <w:color w:val="1A1A1A"/>
          <w:sz w:val="20"/>
          <w:szCs w:val="20"/>
        </w:rPr>
        <w:t xml:space="preserve">C. Kwalitatieve criteria per definitie ongeldig zijn</w:t>
      </w:r>
    </w:p>
    <w:p>
      <w:pPr>
        <w:spacing w:after="40"/>
        <w:ind w:left="300"/>
      </w:pPr>
      <w:r>
        <w:rPr>
          <w:rFonts w:ascii="Calibri" w:cs="Calibri" w:eastAsia="Calibri" w:hAnsi="Calibri"/>
          <w:color w:val="1A1A1A"/>
          <w:sz w:val="20"/>
          <w:szCs w:val="20"/>
        </w:rPr>
        <w:t xml:space="preserve">D. Het te kort geformuleerd is</w:t>
      </w:r>
    </w:p>
    <w:p>
      <w:pPr>
        <w:spacing w:after="80" w:before="200"/>
      </w:pPr>
      <w:r>
        <w:rPr>
          <w:rFonts w:ascii="Calibri" w:cs="Calibri" w:eastAsia="Calibri" w:hAnsi="Calibri"/>
          <w:b/>
          <w:bCs/>
          <w:color w:val="1B2A4A"/>
          <w:sz w:val="21"/>
          <w:szCs w:val="21"/>
        </w:rPr>
        <w:t xml:space="preserve">11. Welke identificatietechniek is het meest geschikt om stilzwijgende aannames in een projectplan bloot te leggen?</w:t>
      </w:r>
    </w:p>
    <w:p>
      <w:pPr>
        <w:spacing w:after="40"/>
        <w:ind w:left="300"/>
      </w:pPr>
      <w:r>
        <w:rPr>
          <w:rFonts w:ascii="Calibri" w:cs="Calibri" w:eastAsia="Calibri" w:hAnsi="Calibri"/>
          <w:color w:val="1A1A1A"/>
          <w:sz w:val="20"/>
          <w:szCs w:val="20"/>
        </w:rPr>
        <w:t xml:space="preserve">A. Categorie-gestuurde identificatie</w:t>
      </w:r>
    </w:p>
    <w:p>
      <w:pPr>
        <w:spacing w:after="40"/>
        <w:ind w:left="300"/>
      </w:pPr>
      <w:r>
        <w:rPr>
          <w:rFonts w:ascii="Calibri" w:cs="Calibri" w:eastAsia="Calibri" w:hAnsi="Calibri"/>
          <w:color w:val="1A1A1A"/>
          <w:sz w:val="20"/>
          <w:szCs w:val="20"/>
        </w:rPr>
        <w:t xml:space="preserve">B. Aannameanalyse</w:t>
      </w:r>
    </w:p>
    <w:p>
      <w:pPr>
        <w:spacing w:after="40"/>
        <w:ind w:left="300"/>
      </w:pPr>
      <w:r>
        <w:rPr>
          <w:rFonts w:ascii="Calibri" w:cs="Calibri" w:eastAsia="Calibri" w:hAnsi="Calibri"/>
          <w:color w:val="1A1A1A"/>
          <w:sz w:val="20"/>
          <w:szCs w:val="20"/>
        </w:rPr>
        <w:t xml:space="preserve">C. Pre-mortem</w:t>
      </w:r>
    </w:p>
    <w:p>
      <w:pPr>
        <w:spacing w:after="40"/>
        <w:ind w:left="300"/>
      </w:pPr>
      <w:r>
        <w:rPr>
          <w:rFonts w:ascii="Calibri" w:cs="Calibri" w:eastAsia="Calibri" w:hAnsi="Calibri"/>
          <w:color w:val="1A1A1A"/>
          <w:sz w:val="20"/>
          <w:szCs w:val="20"/>
        </w:rPr>
        <w:t xml:space="preserve">D. Vrije brainstorm</w:t>
      </w:r>
    </w:p>
    <w:p>
      <w:pPr>
        <w:spacing w:after="80" w:before="200"/>
      </w:pPr>
      <w:r>
        <w:rPr>
          <w:rFonts w:ascii="Calibri" w:cs="Calibri" w:eastAsia="Calibri" w:hAnsi="Calibri"/>
          <w:b/>
          <w:bCs/>
          <w:color w:val="1B2A4A"/>
          <w:sz w:val="21"/>
          <w:szCs w:val="21"/>
        </w:rPr>
        <w:t xml:space="preserve">12. Wat is het belangrijkste nadeel van vrije brainstorm als enige identificatietechniek?</w:t>
      </w:r>
    </w:p>
    <w:p>
      <w:pPr>
        <w:spacing w:after="40"/>
        <w:ind w:left="300"/>
      </w:pPr>
      <w:r>
        <w:rPr>
          <w:rFonts w:ascii="Calibri" w:cs="Calibri" w:eastAsia="Calibri" w:hAnsi="Calibri"/>
          <w:color w:val="1A1A1A"/>
          <w:sz w:val="20"/>
          <w:szCs w:val="20"/>
        </w:rPr>
        <w:t xml:space="preserve">A. Hij kost te veel tijd</w:t>
      </w:r>
    </w:p>
    <w:p>
      <w:pPr>
        <w:spacing w:after="40"/>
        <w:ind w:left="300"/>
      </w:pPr>
      <w:r>
        <w:rPr>
          <w:rFonts w:ascii="Calibri" w:cs="Calibri" w:eastAsia="Calibri" w:hAnsi="Calibri"/>
          <w:color w:val="1A1A1A"/>
          <w:sz w:val="20"/>
          <w:szCs w:val="20"/>
        </w:rPr>
        <w:t xml:space="preserve">B. Hij garandeert geen dekking van hele risicocategorieën</w:t>
      </w:r>
    </w:p>
    <w:p>
      <w:pPr>
        <w:spacing w:after="40"/>
        <w:ind w:left="300"/>
      </w:pPr>
      <w:r>
        <w:rPr>
          <w:rFonts w:ascii="Calibri" w:cs="Calibri" w:eastAsia="Calibri" w:hAnsi="Calibri"/>
          <w:color w:val="1A1A1A"/>
          <w:sz w:val="20"/>
          <w:szCs w:val="20"/>
        </w:rPr>
        <w:t xml:space="preserve">C. Hij is te gestructureerd</w:t>
      </w:r>
    </w:p>
    <w:p>
      <w:pPr>
        <w:spacing w:after="40"/>
        <w:ind w:left="300"/>
      </w:pPr>
      <w:r>
        <w:rPr>
          <w:rFonts w:ascii="Calibri" w:cs="Calibri" w:eastAsia="Calibri" w:hAnsi="Calibri"/>
          <w:color w:val="1A1A1A"/>
          <w:sz w:val="20"/>
          <w:szCs w:val="20"/>
        </w:rPr>
        <w:t xml:space="preserve">D. Hij werkt alleen bij grote groepen</w:t>
      </w:r>
    </w:p>
    <w:p>
      <w:pPr>
        <w:spacing w:after="80" w:before="200"/>
      </w:pPr>
      <w:r>
        <w:rPr>
          <w:rFonts w:ascii="Calibri" w:cs="Calibri" w:eastAsia="Calibri" w:hAnsi="Calibri"/>
          <w:b/>
          <w:bCs/>
          <w:color w:val="1B2A4A"/>
          <w:sz w:val="21"/>
          <w:szCs w:val="21"/>
        </w:rPr>
        <w:t xml:space="preserve">13. Waarom is het aan te raden impact vóór kans te scoren?</w:t>
      </w:r>
    </w:p>
    <w:p>
      <w:pPr>
        <w:spacing w:after="40"/>
        <w:ind w:left="300"/>
      </w:pPr>
      <w:r>
        <w:rPr>
          <w:rFonts w:ascii="Calibri" w:cs="Calibri" w:eastAsia="Calibri" w:hAnsi="Calibri"/>
          <w:color w:val="1A1A1A"/>
          <w:sz w:val="20"/>
          <w:szCs w:val="20"/>
        </w:rPr>
        <w:t xml:space="preserve">A. Impact is altijd belangrijker dan kans</w:t>
      </w:r>
    </w:p>
    <w:p>
      <w:pPr>
        <w:spacing w:after="40"/>
        <w:ind w:left="300"/>
      </w:pPr>
      <w:r>
        <w:rPr>
          <w:rFonts w:ascii="Calibri" w:cs="Calibri" w:eastAsia="Calibri" w:hAnsi="Calibri"/>
          <w:color w:val="1A1A1A"/>
          <w:sz w:val="20"/>
          <w:szCs w:val="20"/>
        </w:rPr>
        <w:t xml:space="preserve">B. Een eerder vastgestelde kansinschatting kleurt onbewust de impactinschatting</w:t>
      </w:r>
    </w:p>
    <w:p>
      <w:pPr>
        <w:spacing w:after="40"/>
        <w:ind w:left="300"/>
      </w:pPr>
      <w:r>
        <w:rPr>
          <w:rFonts w:ascii="Calibri" w:cs="Calibri" w:eastAsia="Calibri" w:hAnsi="Calibri"/>
          <w:color w:val="1A1A1A"/>
          <w:sz w:val="20"/>
          <w:szCs w:val="20"/>
        </w:rPr>
        <w:t xml:space="preserve">C. Kans is moeilijker te schatten dan impact</w:t>
      </w:r>
    </w:p>
    <w:p>
      <w:pPr>
        <w:spacing w:after="40"/>
        <w:ind w:left="300"/>
      </w:pPr>
      <w:r>
        <w:rPr>
          <w:rFonts w:ascii="Calibri" w:cs="Calibri" w:eastAsia="Calibri" w:hAnsi="Calibri"/>
          <w:color w:val="1A1A1A"/>
          <w:sz w:val="20"/>
          <w:szCs w:val="20"/>
        </w:rPr>
        <w:t xml:space="preserve">D. Dit staat zo voorgeschreven in ISO 31000</w:t>
      </w:r>
    </w:p>
    <w:p>
      <w:pPr>
        <w:spacing w:after="80" w:before="200"/>
      </w:pPr>
      <w:r>
        <w:rPr>
          <w:rFonts w:ascii="Calibri" w:cs="Calibri" w:eastAsia="Calibri" w:hAnsi="Calibri"/>
          <w:b/>
          <w:bCs/>
          <w:color w:val="1B2A4A"/>
          <w:sz w:val="21"/>
          <w:szCs w:val="21"/>
        </w:rPr>
        <w:t xml:space="preserve">14. Twee risico's met respectievelijk kans 5/impact 1 en kans 1/impact 5 hebben dezelfde rekenkundige score. Dit illustreert:</w:t>
      </w:r>
    </w:p>
    <w:p>
      <w:pPr>
        <w:spacing w:after="40"/>
        <w:ind w:left="300"/>
      </w:pPr>
      <w:r>
        <w:rPr>
          <w:rFonts w:ascii="Calibri" w:cs="Calibri" w:eastAsia="Calibri" w:hAnsi="Calibri"/>
          <w:color w:val="1A1A1A"/>
          <w:sz w:val="20"/>
          <w:szCs w:val="20"/>
        </w:rPr>
        <w:t xml:space="preserve">A. Dat de matrix altijd correct is</w:t>
      </w:r>
    </w:p>
    <w:p>
      <w:pPr>
        <w:spacing w:after="40"/>
        <w:ind w:left="300"/>
      </w:pPr>
      <w:r>
        <w:rPr>
          <w:rFonts w:ascii="Calibri" w:cs="Calibri" w:eastAsia="Calibri" w:hAnsi="Calibri"/>
          <w:color w:val="1A1A1A"/>
          <w:sz w:val="20"/>
          <w:szCs w:val="20"/>
        </w:rPr>
        <w:t xml:space="preserve">B. Het probleem van het vermenigvuldigen van ordinale schalen</w:t>
      </w:r>
    </w:p>
    <w:p>
      <w:pPr>
        <w:spacing w:after="40"/>
        <w:ind w:left="300"/>
      </w:pPr>
      <w:r>
        <w:rPr>
          <w:rFonts w:ascii="Calibri" w:cs="Calibri" w:eastAsia="Calibri" w:hAnsi="Calibri"/>
          <w:color w:val="1A1A1A"/>
          <w:sz w:val="20"/>
          <w:szCs w:val="20"/>
        </w:rPr>
        <w:t xml:space="preserve">C. Dat impact altijd zwaarder moet wegen dan kans</w:t>
      </w:r>
    </w:p>
    <w:p>
      <w:pPr>
        <w:spacing w:after="40"/>
        <w:ind w:left="300"/>
      </w:pPr>
      <w:r>
        <w:rPr>
          <w:rFonts w:ascii="Calibri" w:cs="Calibri" w:eastAsia="Calibri" w:hAnsi="Calibri"/>
          <w:color w:val="1A1A1A"/>
          <w:sz w:val="20"/>
          <w:szCs w:val="20"/>
        </w:rPr>
        <w:t xml:space="preserve">D. Dat beide risico's identiek moeten worden behandeld</w:t>
      </w:r>
    </w:p>
    <w:p>
      <w:pPr>
        <w:spacing w:after="80" w:before="200"/>
      </w:pPr>
      <w:r>
        <w:rPr>
          <w:rFonts w:ascii="Calibri" w:cs="Calibri" w:eastAsia="Calibri" w:hAnsi="Calibri"/>
          <w:b/>
          <w:bCs/>
          <w:color w:val="1B2A4A"/>
          <w:sz w:val="21"/>
          <w:szCs w:val="21"/>
        </w:rPr>
        <w:t xml:space="preserve">15. Het verschil tussen inherent en residueel risico is:</w:t>
      </w:r>
    </w:p>
    <w:p>
      <w:pPr>
        <w:spacing w:after="40"/>
        <w:ind w:left="300"/>
      </w:pPr>
      <w:r>
        <w:rPr>
          <w:rFonts w:ascii="Calibri" w:cs="Calibri" w:eastAsia="Calibri" w:hAnsi="Calibri"/>
          <w:color w:val="1A1A1A"/>
          <w:sz w:val="20"/>
          <w:szCs w:val="20"/>
        </w:rPr>
        <w:t xml:space="preserve">A. Inherent risico is altijd hoger dan residueel risico</w:t>
      </w:r>
    </w:p>
    <w:p>
      <w:pPr>
        <w:spacing w:after="40"/>
        <w:ind w:left="300"/>
      </w:pPr>
      <w:r>
        <w:rPr>
          <w:rFonts w:ascii="Calibri" w:cs="Calibri" w:eastAsia="Calibri" w:hAnsi="Calibri"/>
          <w:color w:val="1A1A1A"/>
          <w:sz w:val="20"/>
          <w:szCs w:val="20"/>
        </w:rPr>
        <w:t xml:space="preserve">B. Residueel risico wordt gescoord vóór, inherent risico ná respons</w:t>
      </w:r>
    </w:p>
    <w:p>
      <w:pPr>
        <w:spacing w:after="40"/>
        <w:ind w:left="300"/>
      </w:pPr>
      <w:r>
        <w:rPr>
          <w:rFonts w:ascii="Calibri" w:cs="Calibri" w:eastAsia="Calibri" w:hAnsi="Calibri"/>
          <w:color w:val="1A1A1A"/>
          <w:sz w:val="20"/>
          <w:szCs w:val="20"/>
        </w:rPr>
        <w:t xml:space="preserve">C. Inherent risico wordt gescoord vóór maatregelen, residueel risico erna</w:t>
      </w:r>
    </w:p>
    <w:p>
      <w:pPr>
        <w:spacing w:after="40"/>
        <w:ind w:left="300"/>
      </w:pPr>
      <w:r>
        <w:rPr>
          <w:rFonts w:ascii="Calibri" w:cs="Calibri" w:eastAsia="Calibri" w:hAnsi="Calibri"/>
          <w:color w:val="1A1A1A"/>
          <w:sz w:val="20"/>
          <w:szCs w:val="20"/>
        </w:rPr>
        <w:t xml:space="preserve">D. Er is geen praktisch verschil</w:t>
      </w:r>
    </w:p>
    <w:p>
      <w:pPr>
        <w:spacing w:after="80" w:before="200"/>
      </w:pPr>
      <w:r>
        <w:rPr>
          <w:rFonts w:ascii="Calibri" w:cs="Calibri" w:eastAsia="Calibri" w:hAnsi="Calibri"/>
          <w:b/>
          <w:bCs/>
          <w:color w:val="1B2A4A"/>
          <w:sz w:val="21"/>
          <w:szCs w:val="21"/>
        </w:rPr>
        <w:t xml:space="preserve">16. Een organisatie besluit een risico bewust te dragen, met een gedateerd en onderbouwd besluit. Dit heet:</w:t>
      </w:r>
    </w:p>
    <w:p>
      <w:pPr>
        <w:spacing w:after="40"/>
        <w:ind w:left="300"/>
      </w:pPr>
      <w:r>
        <w:rPr>
          <w:rFonts w:ascii="Calibri" w:cs="Calibri" w:eastAsia="Calibri" w:hAnsi="Calibri"/>
          <w:color w:val="1A1A1A"/>
          <w:sz w:val="20"/>
          <w:szCs w:val="20"/>
        </w:rPr>
        <w:t xml:space="preserve">A. Negeren</w:t>
      </w:r>
    </w:p>
    <w:p>
      <w:pPr>
        <w:spacing w:after="40"/>
        <w:ind w:left="300"/>
      </w:pPr>
      <w:r>
        <w:rPr>
          <w:rFonts w:ascii="Calibri" w:cs="Calibri" w:eastAsia="Calibri" w:hAnsi="Calibri"/>
          <w:color w:val="1A1A1A"/>
          <w:sz w:val="20"/>
          <w:szCs w:val="20"/>
        </w:rPr>
        <w:t xml:space="preserve">B. Accepteren</w:t>
      </w:r>
    </w:p>
    <w:p>
      <w:pPr>
        <w:spacing w:after="40"/>
        <w:ind w:left="300"/>
      </w:pPr>
      <w:r>
        <w:rPr>
          <w:rFonts w:ascii="Calibri" w:cs="Calibri" w:eastAsia="Calibri" w:hAnsi="Calibri"/>
          <w:color w:val="1A1A1A"/>
          <w:sz w:val="20"/>
          <w:szCs w:val="20"/>
        </w:rPr>
        <w:t xml:space="preserve">C. Overdragen</w:t>
      </w:r>
    </w:p>
    <w:p>
      <w:pPr>
        <w:spacing w:after="40"/>
        <w:ind w:left="300"/>
      </w:pPr>
      <w:r>
        <w:rPr>
          <w:rFonts w:ascii="Calibri" w:cs="Calibri" w:eastAsia="Calibri" w:hAnsi="Calibri"/>
          <w:color w:val="1A1A1A"/>
          <w:sz w:val="20"/>
          <w:szCs w:val="20"/>
        </w:rPr>
        <w:t xml:space="preserve">D. Vermijden</w:t>
      </w:r>
    </w:p>
    <w:p>
      <w:pPr>
        <w:spacing w:after="80" w:before="200"/>
      </w:pPr>
      <w:r>
        <w:rPr>
          <w:rFonts w:ascii="Calibri" w:cs="Calibri" w:eastAsia="Calibri" w:hAnsi="Calibri"/>
          <w:b/>
          <w:bCs/>
          <w:color w:val="1B2A4A"/>
          <w:sz w:val="21"/>
          <w:szCs w:val="21"/>
        </w:rPr>
        <w:t xml:space="preserve">17. Een secundair risico is:</w:t>
      </w:r>
    </w:p>
    <w:p>
      <w:pPr>
        <w:spacing w:after="40"/>
        <w:ind w:left="300"/>
      </w:pPr>
      <w:r>
        <w:rPr>
          <w:rFonts w:ascii="Calibri" w:cs="Calibri" w:eastAsia="Calibri" w:hAnsi="Calibri"/>
          <w:color w:val="1A1A1A"/>
          <w:sz w:val="20"/>
          <w:szCs w:val="20"/>
        </w:rPr>
        <w:t xml:space="preserve">A. Een risico met een lage score</w:t>
      </w:r>
    </w:p>
    <w:p>
      <w:pPr>
        <w:spacing w:after="40"/>
        <w:ind w:left="300"/>
      </w:pPr>
      <w:r>
        <w:rPr>
          <w:rFonts w:ascii="Calibri" w:cs="Calibri" w:eastAsia="Calibri" w:hAnsi="Calibri"/>
          <w:color w:val="1A1A1A"/>
          <w:sz w:val="20"/>
          <w:szCs w:val="20"/>
        </w:rPr>
        <w:t xml:space="preserve">B. Een risico dat door een gekozen respons zelf wordt veroorzaakt</w:t>
      </w:r>
    </w:p>
    <w:p>
      <w:pPr>
        <w:spacing w:after="40"/>
        <w:ind w:left="300"/>
      </w:pPr>
      <w:r>
        <w:rPr>
          <w:rFonts w:ascii="Calibri" w:cs="Calibri" w:eastAsia="Calibri" w:hAnsi="Calibri"/>
          <w:color w:val="1A1A1A"/>
          <w:sz w:val="20"/>
          <w:szCs w:val="20"/>
        </w:rPr>
        <w:t xml:space="preserve">C. Een risico dat aan een tweede project is gekoppeld</w:t>
      </w:r>
    </w:p>
    <w:p>
      <w:pPr>
        <w:spacing w:after="40"/>
        <w:ind w:left="300"/>
      </w:pPr>
      <w:r>
        <w:rPr>
          <w:rFonts w:ascii="Calibri" w:cs="Calibri" w:eastAsia="Calibri" w:hAnsi="Calibri"/>
          <w:color w:val="1A1A1A"/>
          <w:sz w:val="20"/>
          <w:szCs w:val="20"/>
        </w:rPr>
        <w:t xml:space="preserve">D. Een risico dat al is gesloten</w:t>
      </w:r>
    </w:p>
    <w:p>
      <w:pPr>
        <w:spacing w:after="80" w:before="200"/>
      </w:pPr>
      <w:r>
        <w:rPr>
          <w:rFonts w:ascii="Calibri" w:cs="Calibri" w:eastAsia="Calibri" w:hAnsi="Calibri"/>
          <w:b/>
          <w:bCs/>
          <w:color w:val="1B2A4A"/>
          <w:sz w:val="21"/>
          <w:szCs w:val="21"/>
        </w:rPr>
        <w:t xml:space="preserve">18. Het verschil tussen een risico-eigenaar en een actiehouder is:</w:t>
      </w:r>
    </w:p>
    <w:p>
      <w:pPr>
        <w:spacing w:after="40"/>
        <w:ind w:left="300"/>
      </w:pPr>
      <w:r>
        <w:rPr>
          <w:rFonts w:ascii="Calibri" w:cs="Calibri" w:eastAsia="Calibri" w:hAnsi="Calibri"/>
          <w:color w:val="1A1A1A"/>
          <w:sz w:val="20"/>
          <w:szCs w:val="20"/>
        </w:rPr>
        <w:t xml:space="preserve">A. Er is geen verschil</w:t>
      </w:r>
    </w:p>
    <w:p>
      <w:pPr>
        <w:spacing w:after="40"/>
        <w:ind w:left="300"/>
      </w:pPr>
      <w:r>
        <w:rPr>
          <w:rFonts w:ascii="Calibri" w:cs="Calibri" w:eastAsia="Calibri" w:hAnsi="Calibri"/>
          <w:color w:val="1A1A1A"/>
          <w:sz w:val="20"/>
          <w:szCs w:val="20"/>
        </w:rPr>
        <w:t xml:space="preserve">B. De eigenaar is verantwoordelijk voor het risico als geheel, de actiehouder voert één maatregel uit</w:t>
      </w:r>
    </w:p>
    <w:p>
      <w:pPr>
        <w:spacing w:after="40"/>
        <w:ind w:left="300"/>
      </w:pPr>
      <w:r>
        <w:rPr>
          <w:rFonts w:ascii="Calibri" w:cs="Calibri" w:eastAsia="Calibri" w:hAnsi="Calibri"/>
          <w:color w:val="1A1A1A"/>
          <w:sz w:val="20"/>
          <w:szCs w:val="20"/>
        </w:rPr>
        <w:t xml:space="preserve">C. De actiehouder heeft altijd een hogere functie</w:t>
      </w:r>
    </w:p>
    <w:p>
      <w:pPr>
        <w:spacing w:after="40"/>
        <w:ind w:left="300"/>
      </w:pPr>
      <w:r>
        <w:rPr>
          <w:rFonts w:ascii="Calibri" w:cs="Calibri" w:eastAsia="Calibri" w:hAnsi="Calibri"/>
          <w:color w:val="1A1A1A"/>
          <w:sz w:val="20"/>
          <w:szCs w:val="20"/>
        </w:rPr>
        <w:t xml:space="preserve">D. Alleen de eigenaar mag het risico identificeren</w:t>
      </w:r>
    </w:p>
    <w:p>
      <w:pPr>
        <w:spacing w:after="80" w:before="200"/>
      </w:pPr>
      <w:r>
        <w:rPr>
          <w:rFonts w:ascii="Calibri" w:cs="Calibri" w:eastAsia="Calibri" w:hAnsi="Calibri"/>
          <w:b/>
          <w:bCs/>
          <w:color w:val="1B2A4A"/>
          <w:sz w:val="21"/>
          <w:szCs w:val="21"/>
        </w:rPr>
        <w:t xml:space="preserve">19. Een tolerantie verschilt van een impactschaal doordat:</w:t>
      </w:r>
    </w:p>
    <w:p>
      <w:pPr>
        <w:spacing w:after="40"/>
        <w:ind w:left="300"/>
      </w:pPr>
      <w:r>
        <w:rPr>
          <w:rFonts w:ascii="Calibri" w:cs="Calibri" w:eastAsia="Calibri" w:hAnsi="Calibri"/>
          <w:color w:val="1A1A1A"/>
          <w:sz w:val="20"/>
          <w:szCs w:val="20"/>
        </w:rPr>
        <w:t xml:space="preserve">A. Een tolerantie bepaalt wanneer escalatie verplicht is, een impactschaal beoordeelt hoe erg een gevolg is</w:t>
      </w:r>
    </w:p>
    <w:p>
      <w:pPr>
        <w:spacing w:after="40"/>
        <w:ind w:left="300"/>
      </w:pPr>
      <w:r>
        <w:rPr>
          <w:rFonts w:ascii="Calibri" w:cs="Calibri" w:eastAsia="Calibri" w:hAnsi="Calibri"/>
          <w:color w:val="1A1A1A"/>
          <w:sz w:val="20"/>
          <w:szCs w:val="20"/>
        </w:rPr>
        <w:t xml:space="preserve">B. Een tolerantie alleen voor financiële risico's geldt</w:t>
      </w:r>
    </w:p>
    <w:p>
      <w:pPr>
        <w:spacing w:after="40"/>
        <w:ind w:left="300"/>
      </w:pPr>
      <w:r>
        <w:rPr>
          <w:rFonts w:ascii="Calibri" w:cs="Calibri" w:eastAsia="Calibri" w:hAnsi="Calibri"/>
          <w:color w:val="1A1A1A"/>
          <w:sz w:val="20"/>
          <w:szCs w:val="20"/>
        </w:rPr>
        <w:t xml:space="preserve">C. Een impactschaal altijd numeriek is en een tolerantie niet</w:t>
      </w:r>
    </w:p>
    <w:p>
      <w:pPr>
        <w:spacing w:after="40"/>
        <w:ind w:left="300"/>
      </w:pPr>
      <w:r>
        <w:rPr>
          <w:rFonts w:ascii="Calibri" w:cs="Calibri" w:eastAsia="Calibri" w:hAnsi="Calibri"/>
          <w:color w:val="1A1A1A"/>
          <w:sz w:val="20"/>
          <w:szCs w:val="20"/>
        </w:rPr>
        <w:t xml:space="preserve">D. Ze functioneel identiek zijn</w:t>
      </w:r>
    </w:p>
    <w:p>
      <w:pPr>
        <w:spacing w:after="80" w:before="200"/>
      </w:pPr>
      <w:r>
        <w:rPr>
          <w:rFonts w:ascii="Calibri" w:cs="Calibri" w:eastAsia="Calibri" w:hAnsi="Calibri"/>
          <w:b/>
          <w:bCs/>
          <w:color w:val="1B2A4A"/>
          <w:sz w:val="21"/>
          <w:szCs w:val="21"/>
        </w:rPr>
        <w:t xml:space="preserve">20. In het three-lines-of-defence-model rapporteert de derde lijn (interne audit):</w:t>
      </w:r>
    </w:p>
    <w:p>
      <w:pPr>
        <w:spacing w:after="40"/>
        <w:ind w:left="300"/>
      </w:pPr>
      <w:r>
        <w:rPr>
          <w:rFonts w:ascii="Calibri" w:cs="Calibri" w:eastAsia="Calibri" w:hAnsi="Calibri"/>
          <w:color w:val="1A1A1A"/>
          <w:sz w:val="20"/>
          <w:szCs w:val="20"/>
        </w:rPr>
        <w:t xml:space="preserve">A. Aan de tweede lijn, die de bevindingen doorgeeft</w:t>
      </w:r>
    </w:p>
    <w:p>
      <w:pPr>
        <w:spacing w:after="40"/>
        <w:ind w:left="300"/>
      </w:pPr>
      <w:r>
        <w:rPr>
          <w:rFonts w:ascii="Calibri" w:cs="Calibri" w:eastAsia="Calibri" w:hAnsi="Calibri"/>
          <w:color w:val="1A1A1A"/>
          <w:sz w:val="20"/>
          <w:szCs w:val="20"/>
        </w:rPr>
        <w:t xml:space="preserve">B. Aan het operationeel management</w:t>
      </w:r>
    </w:p>
    <w:p>
      <w:pPr>
        <w:spacing w:after="40"/>
        <w:ind w:left="300"/>
      </w:pPr>
      <w:r>
        <w:rPr>
          <w:rFonts w:ascii="Calibri" w:cs="Calibri" w:eastAsia="Calibri" w:hAnsi="Calibri"/>
          <w:color w:val="1A1A1A"/>
          <w:sz w:val="20"/>
          <w:szCs w:val="20"/>
        </w:rPr>
        <w:t xml:space="preserve">C. Onafhankelijk, buiten de andere twee lijnen om, meestal aan een auditcommissie</w:t>
      </w:r>
    </w:p>
    <w:p>
      <w:pPr>
        <w:spacing w:after="40"/>
        <w:ind w:left="300"/>
      </w:pPr>
      <w:r>
        <w:rPr>
          <w:rFonts w:ascii="Calibri" w:cs="Calibri" w:eastAsia="Calibri" w:hAnsi="Calibri"/>
          <w:color w:val="1A1A1A"/>
          <w:sz w:val="20"/>
          <w:szCs w:val="20"/>
        </w:rPr>
        <w:t xml:space="preserve">D. Alleen op verzoek</w:t>
      </w:r>
    </w:p>
    <w:p>
      <w:pPr>
        <w:pStyle w:val="Heading2"/>
        <w:spacing w:after="160" w:before="360"/>
      </w:pPr>
      <w:r>
        <w:rPr>
          <w:rFonts w:ascii="Calibri" w:cs="Calibri" w:eastAsia="Calibri" w:hAnsi="Calibri"/>
          <w:b/>
          <w:bCs/>
          <w:color w:val="2C5AA0"/>
          <w:sz w:val="26"/>
          <w:szCs w:val="26"/>
        </w:rPr>
        <w:t xml:space="preserve">Antwoordblad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122"/>
        <w:gridCol w:w="1309"/>
        <w:gridCol w:w="6919"/>
      </w:tblGrid>
      <w:tr>
        <w:trPr>
          <w:tblHeader/>
        </w:trPr>
        <w:tc>
          <w:tcPr>
            <w:tcW w:type="pct" w:w="1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Vraag</w:t>
            </w:r>
          </w:p>
        </w:tc>
        <w:tc>
          <w:tcPr>
            <w:tcW w:type="pct" w:w="1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Antwoord</w:t>
            </w:r>
          </w:p>
        </w:tc>
        <w:tc>
          <w:tcPr>
            <w:tcW w:type="pct" w:w="7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Toelichting</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kerndefinitie uit deel 1</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‘Kostenneutraal’ is geen van de acht principes; de andere drie wel</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ISO 31073:2022, sinds de scheiding van richtlijn en begrippenlijst in 2018</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ISO 31000 kent geen organisatiecertificering; CRMF en RIMS-CRMP zijn persoonscertificeringen</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zes perspectieven zijn het meest onderscheidende kenmerk van M_o_R 4</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COSO's kernkenmerk is de koppeling aan strategie en doelbepaling</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7</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oorzaak moet een vandaag al vaststaand feit zijn, geen onzekerheid</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8</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kerncriterium: kan gebeuren versus is al gebeurd of zeker geworden</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9</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Context bepalen gaat vooraf aan risicobeoordeling in de ISO 31000-cyclus</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‘Aanzienlijk’ zonder getal of drempel is geen verifieerbaar criterium (Kernzin 2)</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Aannameanalyse is specifiek gericht op stilzwijgende, onuitgesproken voorwaarden</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12</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structurele probleem is het ontbreken van categoriedekking, niet tijdsbesparing</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Verankering: een kansinschatting kleurt de impactinschatting als die eerst wordt gedaan</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Dit is precies matrixvalkuil 1 uit deel 5</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Inherent = vóór maatregelen (bruto), residueel = erna (netto)</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16</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definitie van Kernzin 4: bewust en gedocumenteerd</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17</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definitie uit deel 6, paragraaf 6.3</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18</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kern van deel 7</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19</w:t>
            </w:r>
          </w:p>
        </w:tc>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kern van deel 8, expliciet onderscheiden van de impactschaal</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20</w:t>
            </w:r>
          </w:p>
        </w:tc>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onafhankelijkheid van de derde lijn is essentieel voor haar functie</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Score-indicatie: 15 van de 20 (75%) komt overeen met de slagingsgrens van het echte CRMF-examen. Minder dan 15 goed? Ga terug naar de betreffende delen vóór je verdergaat naar niveau 2 — met name de delen waar meerdere vragen fout werden beantwoord.</w:t>
      </w:r>
    </w:p>
    <w:p>
      <w:pPr>
        <w:pStyle w:val="Heading2"/>
        <w:spacing w:after="160" w:before="360"/>
      </w:pPr>
      <w:r>
        <w:rPr>
          <w:rFonts w:ascii="Calibri" w:cs="Calibri" w:eastAsia="Calibri" w:hAnsi="Calibri"/>
          <w:b/>
          <w:bCs/>
          <w:color w:val="2C5AA0"/>
          <w:sz w:val="26"/>
          <w:szCs w:val="26"/>
        </w:rPr>
        <w:t xml:space="preserve">Voorbereidingschecklist capstone</w:t>
      </w:r>
    </w:p>
    <w:p>
      <w:pPr>
        <w:spacing w:after="180" w:line="300"/>
        <w:jc w:val="both"/>
      </w:pPr>
      <w:r>
        <w:rPr>
          <w:rFonts w:ascii="Calibri" w:cs="Calibri" w:eastAsia="Calibri" w:hAnsi="Calibri"/>
          <w:color w:val="1A1A1A"/>
          <w:sz w:val="21"/>
          <w:szCs w:val="21"/>
        </w:rPr>
        <w:t xml:space="preserve">Loop deze lijst na vóórdat je je verdediging voorbereidt:</w:t>
      </w:r>
    </w:p>
    <w:p>
      <w:pPr>
        <w:pStyle w:val="ListParagraph"/>
        <w:numPr>
          <w:ilvl w:val="0"/>
          <w:numId w:val="2"/>
        </w:numPr>
        <w:spacing w:after="100" w:line="280"/>
      </w:pPr>
      <w:r>
        <w:rPr>
          <w:rFonts w:ascii="Calibri" w:cs="Calibri" w:eastAsia="Calibri" w:hAnsi="Calibri"/>
          <w:color w:val="1A1A1A"/>
          <w:sz w:val="21"/>
          <w:szCs w:val="21"/>
        </w:rPr>
        <w:t xml:space="preserve">Context- en criteriadocument compleet en actueel (deel 3)</w:t>
      </w:r>
    </w:p>
    <w:p>
      <w:pPr>
        <w:pStyle w:val="ListParagraph"/>
        <w:numPr>
          <w:ilvl w:val="0"/>
          <w:numId w:val="2"/>
        </w:numPr>
        <w:spacing w:after="100" w:line="280"/>
      </w:pPr>
      <w:r>
        <w:rPr>
          <w:rFonts w:ascii="Calibri" w:cs="Calibri" w:eastAsia="Calibri" w:hAnsi="Calibri"/>
          <w:color w:val="1A1A1A"/>
          <w:sz w:val="21"/>
          <w:szCs w:val="21"/>
        </w:rPr>
        <w:t xml:space="preserve">Minstens twee tot drie risico's volledig uitgewerkt: risicozin, inherent én residueel gescoord, respons met onderbouwing (deel 1, 5, 6)</w:t>
      </w:r>
    </w:p>
    <w:p>
      <w:pPr>
        <w:pStyle w:val="ListParagraph"/>
        <w:numPr>
          <w:ilvl w:val="0"/>
          <w:numId w:val="2"/>
        </w:numPr>
        <w:spacing w:after="100" w:line="280"/>
      </w:pPr>
      <w:r>
        <w:rPr>
          <w:rFonts w:ascii="Calibri" w:cs="Calibri" w:eastAsia="Calibri" w:hAnsi="Calibri"/>
          <w:color w:val="1A1A1A"/>
          <w:sz w:val="21"/>
          <w:szCs w:val="21"/>
        </w:rPr>
        <w:t xml:space="preserve">Voor elk uitgewerkt risico: eigenaar én actiehouder(s) apart benoemd (deel 7)</w:t>
      </w:r>
    </w:p>
    <w:p>
      <w:pPr>
        <w:pStyle w:val="ListParagraph"/>
        <w:numPr>
          <w:ilvl w:val="0"/>
          <w:numId w:val="2"/>
        </w:numPr>
        <w:spacing w:after="100" w:line="280"/>
      </w:pPr>
      <w:r>
        <w:rPr>
          <w:rFonts w:ascii="Calibri" w:cs="Calibri" w:eastAsia="Calibri" w:hAnsi="Calibri"/>
          <w:color w:val="1A1A1A"/>
          <w:sz w:val="21"/>
          <w:szCs w:val="21"/>
        </w:rPr>
        <w:t xml:space="preserve">Minstens één tolerantie en één KRI uitgewerkt en toegelicht (deel 8)</w:t>
      </w:r>
    </w:p>
    <w:p>
      <w:pPr>
        <w:pStyle w:val="ListParagraph"/>
        <w:numPr>
          <w:ilvl w:val="0"/>
          <w:numId w:val="2"/>
        </w:numPr>
        <w:spacing w:after="100" w:line="280"/>
      </w:pPr>
      <w:r>
        <w:rPr>
          <w:rFonts w:ascii="Calibri" w:cs="Calibri" w:eastAsia="Calibri" w:hAnsi="Calibri"/>
          <w:color w:val="1A1A1A"/>
          <w:sz w:val="21"/>
          <w:szCs w:val="21"/>
        </w:rPr>
        <w:t xml:space="preserve">Governance-inrichting kort samengevat: wie stelt vast, wie bewaakt, welke frequentie (deel 9)</w:t>
      </w:r>
    </w:p>
    <w:p>
      <w:pPr>
        <w:pStyle w:val="ListParagraph"/>
        <w:numPr>
          <w:ilvl w:val="0"/>
          <w:numId w:val="2"/>
        </w:numPr>
        <w:spacing w:after="100" w:line="280"/>
      </w:pPr>
      <w:r>
        <w:rPr>
          <w:rFonts w:ascii="Calibri" w:cs="Calibri" w:eastAsia="Calibri" w:hAnsi="Calibri"/>
          <w:color w:val="1A1A1A"/>
          <w:sz w:val="21"/>
          <w:szCs w:val="21"/>
        </w:rPr>
        <w:t xml:space="preserve">Voor elk van de vijf faalpunten uit deel 1: een expliciete zin klaar die aantoont hoe dit instrumentarium het faalpunt oplost</w:t>
      </w:r>
    </w:p>
    <w:p>
      <w:pPr>
        <w:pStyle w:val="ListParagraph"/>
        <w:numPr>
          <w:ilvl w:val="0"/>
          <w:numId w:val="2"/>
        </w:numPr>
        <w:spacing w:after="100" w:line="280"/>
      </w:pPr>
      <w:r>
        <w:rPr>
          <w:rFonts w:ascii="Calibri" w:cs="Calibri" w:eastAsia="Calibri" w:hAnsi="Calibri"/>
          <w:color w:val="1A1A1A"/>
          <w:sz w:val="21"/>
          <w:szCs w:val="21"/>
        </w:rPr>
        <w:t xml:space="preserve">Een antwoord voorbereid op de meest voor de hand liggende kritische vraag: ‘waarom zou dit nu wél werken?’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Toelichting bij het laatste punt</w:t>
            </w:r>
          </w:p>
          <w:p>
            <w:r>
              <w:rPr>
                <w:rFonts w:ascii="Calibri" w:cs="Calibri" w:eastAsia="Calibri" w:hAnsi="Calibri"/>
                <w:color w:val="1A1A1A"/>
                <w:sz w:val="20"/>
                <w:szCs w:val="20"/>
              </w:rPr>
              <w:t xml:space="preserve">Dit is de vraag die de rubriekcriterium ‘aantoonbare les uit WGP 2.0’ toetst. Een sterk antwoord verwijst niet naar goede intenties (‘we zijn nu zorgvuldiger’), maar naar een specifiek, structureel verschil: bijvoorbeeld, ‘de vorige keer stond er geen eigenaar bij het hoogst scorende risico; nu is elke risico-eigenaar verplicht tot een maandelijkse actieve bevestiging, en het uitblijven daarvan escaleert automatisch — dat mechanisme bestond simpelweg niet.’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2026-08-16T10:20:35.564Z</dcterms:created>
  <dcterms:modified xsi:type="dcterms:W3CDTF">2026-08-16T10:20:35.565Z</dcterms:modified>
</cp:coreProperties>
</file>

<file path=docProps/custom.xml><?xml version="1.0" encoding="utf-8"?>
<Properties xmlns="http://schemas.openxmlformats.org/officeDocument/2006/custom-properties" xmlns:vt="http://schemas.openxmlformats.org/officeDocument/2006/docPropsVTypes"/>
</file>