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11 — M_o_R 4: van project naar de hele onderneming</w:t>
      </w:r>
    </w:p>
    <w:p>
      <w:pPr>
        <w:spacing w:before="600"/>
        <w:jc w:val="center"/>
      </w:pPr>
      <w:r>
        <w:rPr>
          <w:rFonts w:ascii="Calibri" w:cs="Calibri" w:eastAsia="Calibri" w:hAnsi="Calibri"/>
          <w:b/>
          <w:bCs/>
          <w:color w:val="1B2A4A"/>
          <w:sz w:val="24"/>
          <w:szCs w:val="24"/>
        </w:rPr>
        <w:t xml:space="preserve">Niveau 2 — Professional</w:t>
      </w:r>
    </w:p>
    <w:p>
      <w:pPr>
        <w:spacing w:before="200"/>
        <w:jc w:val="center"/>
      </w:pPr>
      <w:r>
        <w:rPr>
          <w:rFonts w:ascii="Calibri" w:cs="Calibri" w:eastAsia="Calibri" w:hAnsi="Calibri"/>
          <w:i/>
          <w:iCs/>
          <w:color w:val="D99A3D"/>
          <w:sz w:val="24"/>
          <w:szCs w:val="24"/>
        </w:rPr>
        <w:t xml:space="preserve">Docentenhandleiding</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11 — Docentenhandleiding</w:t>
      </w:r>
    </w:p>
    <w:p>
      <w:pPr>
        <w:pStyle w:val="Heading2"/>
        <w:spacing w:after="160" w:before="360"/>
      </w:pPr>
      <w:r>
        <w:rPr>
          <w:rFonts w:ascii="Calibri" w:cs="Calibri" w:eastAsia="Calibri" w:hAnsi="Calibri"/>
          <w:b/>
          <w:bCs/>
          <w:color w:val="2C5AA0"/>
          <w:sz w:val="26"/>
          <w:szCs w:val="26"/>
        </w:rPr>
        <w:t xml:space="preserve">Positie van dit deel</w:t>
      </w:r>
    </w:p>
    <w:p>
      <w:pPr>
        <w:spacing w:after="180" w:line="300"/>
        <w:jc w:val="both"/>
      </w:pPr>
      <w:r>
        <w:rPr>
          <w:rFonts w:ascii="Calibri" w:cs="Calibri" w:eastAsia="Calibri" w:hAnsi="Calibri"/>
          <w:color w:val="1A1A1A"/>
          <w:sz w:val="21"/>
          <w:szCs w:val="21"/>
        </w:rPr>
        <w:t xml:space="preserve">Dit deel opent niveau 2 en heeft een dubbele functie: het introduceert de nieuwe casus (het Mutatieplatform-programma) en het brengt M_o_R 4 van ‘een van de standaarden in het landschap’ (niveau 1, deel 2) naar ‘het raamwerk waarop dit hele niveau is gebouwd’. Deelnemers die niveau 1 van deze cursus hebben gevolgd, herkennen veel — leun daarop, maar zorg dat het geen herhaling wordt: elk herkenbaar element moet direct gekoppeld worden aan wat er nu, op programmaschaal, anders is.</w:t>
      </w:r>
    </w:p>
    <w:p>
      <w:pPr>
        <w:spacing w:after="180" w:line="300"/>
        <w:jc w:val="both"/>
      </w:pPr>
      <w:r>
        <w:rPr>
          <w:rFonts w:ascii="Calibri" w:cs="Calibri" w:eastAsia="Calibri" w:hAnsi="Calibri"/>
          <w:color w:val="1A1A1A"/>
          <w:sz w:val="21"/>
          <w:szCs w:val="21"/>
        </w:rPr>
        <w:t xml:space="preserve">Voor deelnemers die niveau 1 van deze cursus niet hebben gevolgd (bijvoorbeeld zij-instromers met ervaring elders), is dit deel dichter en vraagt meer voorbereidingstijd — zie de sectie ‘Bij welke groep werkt dit hoe’.</w:t>
      </w:r>
    </w:p>
    <w:p>
      <w:pPr>
        <w:pStyle w:val="Heading2"/>
        <w:spacing w:after="160" w:before="360"/>
      </w:pPr>
      <w:r>
        <w:rPr>
          <w:rFonts w:ascii="Calibri" w:cs="Calibri" w:eastAsia="Calibri" w:hAnsi="Calibri"/>
          <w:b/>
          <w:bCs/>
          <w:color w:val="2C5AA0"/>
          <w:sz w:val="26"/>
          <w:szCs w:val="26"/>
        </w:rPr>
        <w:t xml:space="preserve">Leerdoelen</w:t>
      </w:r>
    </w:p>
    <w:p>
      <w:pPr>
        <w:pStyle w:val="ListParagraph"/>
        <w:numPr>
          <w:ilvl w:val="0"/>
          <w:numId w:val="2"/>
        </w:numPr>
        <w:spacing w:after="100" w:line="280"/>
      </w:pPr>
      <w:r>
        <w:rPr>
          <w:rFonts w:ascii="Calibri" w:cs="Calibri" w:eastAsia="Calibri" w:hAnsi="Calibri"/>
          <w:color w:val="1A1A1A"/>
          <w:sz w:val="21"/>
          <w:szCs w:val="21"/>
        </w:rPr>
        <w:t xml:space="preserve">de casus van het Mutatieplatform-programma en de vijf projecten daarbinnen beschrijven, inclusief de relatie met de niveau-1-casus;</w:t>
      </w:r>
    </w:p>
    <w:p>
      <w:pPr>
        <w:pStyle w:val="ListParagraph"/>
        <w:numPr>
          <w:ilvl w:val="0"/>
          <w:numId w:val="2"/>
        </w:numPr>
        <w:spacing w:after="100" w:line="280"/>
      </w:pPr>
      <w:r>
        <w:rPr>
          <w:rFonts w:ascii="Calibri" w:cs="Calibri" w:eastAsia="Calibri" w:hAnsi="Calibri"/>
          <w:color w:val="1A1A1A"/>
          <w:sz w:val="21"/>
          <w:szCs w:val="21"/>
        </w:rPr>
        <w:t xml:space="preserve">de vier M_o_R-principes toepassen op programmaniveau en het verschil met projectniveau beargumenteren;</w:t>
      </w:r>
    </w:p>
    <w:p>
      <w:pPr>
        <w:pStyle w:val="ListParagraph"/>
        <w:numPr>
          <w:ilvl w:val="0"/>
          <w:numId w:val="2"/>
        </w:numPr>
        <w:spacing w:after="100" w:line="280"/>
      </w:pPr>
      <w:r>
        <w:rPr>
          <w:rFonts w:ascii="Calibri" w:cs="Calibri" w:eastAsia="Calibri" w:hAnsi="Calibri"/>
          <w:color w:val="1A1A1A"/>
          <w:sz w:val="21"/>
          <w:szCs w:val="21"/>
        </w:rPr>
        <w:t xml:space="preserve">het onderscheid tussen het portfolio- en het programmaperspectief toepassen op een gegeven vraagstuk;</w:t>
      </w:r>
    </w:p>
    <w:p>
      <w:pPr>
        <w:pStyle w:val="ListParagraph"/>
        <w:numPr>
          <w:ilvl w:val="0"/>
          <w:numId w:val="2"/>
        </w:numPr>
        <w:spacing w:after="100" w:line="280"/>
      </w:pPr>
      <w:r>
        <w:rPr>
          <w:rFonts w:ascii="Calibri" w:cs="Calibri" w:eastAsia="Calibri" w:hAnsi="Calibri"/>
          <w:color w:val="1A1A1A"/>
          <w:sz w:val="21"/>
          <w:szCs w:val="21"/>
        </w:rPr>
        <w:t xml:space="preserve">de acht M_o_R-processen benoemen, in twee groepen indelen, en koppelen aan waar ze in niveau 1 al aan bod kwamen;</w:t>
      </w:r>
    </w:p>
    <w:p>
      <w:pPr>
        <w:pStyle w:val="ListParagraph"/>
        <w:numPr>
          <w:ilvl w:val="0"/>
          <w:numId w:val="2"/>
        </w:numPr>
        <w:spacing w:after="100" w:line="280"/>
      </w:pPr>
      <w:r>
        <w:rPr>
          <w:rFonts w:ascii="Calibri" w:cs="Calibri" w:eastAsia="Calibri" w:hAnsi="Calibri"/>
          <w:color w:val="1A1A1A"/>
          <w:sz w:val="21"/>
          <w:szCs w:val="21"/>
        </w:rPr>
        <w:t xml:space="preserve">de vier onderwerpen die PM-cursus deel 18 bewust liet liggen, koppelen aan het deel in dit niveau waar ze worden ingevuld.</w:t>
      </w:r>
    </w:p>
    <w:p>
      <w:pPr>
        <w:pStyle w:val="Heading2"/>
        <w:spacing w:after="160" w:before="360"/>
      </w:pPr>
      <w:r>
        <w:rPr>
          <w:rFonts w:ascii="Calibri" w:cs="Calibri" w:eastAsia="Calibri" w:hAnsi="Calibri"/>
          <w:b/>
          <w:bCs/>
          <w:color w:val="2C5AA0"/>
          <w:sz w:val="26"/>
          <w:szCs w:val="26"/>
        </w:rPr>
        <w:t xml:space="preserve">Tijdsindeling (één dagdeel, 3 uur 30)</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683"/>
        <w:gridCol w:w="3927"/>
        <w:gridCol w:w="3740"/>
      </w:tblGrid>
      <w:tr>
        <w:trPr>
          <w:tblHeader/>
        </w:trPr>
        <w:tc>
          <w:tcPr>
            <w:tcW w:type="pct" w:w="18%"/>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Tijd</w:t>
            </w:r>
          </w:p>
        </w:tc>
        <w:tc>
          <w:tcPr>
            <w:tcW w:type="pct" w:w="42%"/>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Onderdeel</w:t>
            </w:r>
          </w:p>
        </w:tc>
        <w:tc>
          <w:tcPr>
            <w:tcW w:type="pct" w:w="4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Vorm</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0:00–0:20</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Introductie niveau 2: de promotie, het Mutatieplatform-programma</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Vertelling, slides 3–6</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0:20–0:50</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De vier principes op programmaniveau</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7–11, opdracht 11.1 in tweetallen</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0:50–1:10</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Zes perspectieven, nadruk portfolio/programma</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12–14</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1:10–1:25</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1:25–1:40</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Opdracht 11.2 — portfolio of programma</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Plenair</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1:40–2:15</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De acht processen volledig</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15–19, opdracht 11.3 individueel</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2:15–2:30</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2:30–2:55</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Verhouding tot PRINCE2/MSP, opdracht 11.4</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20–21</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2:55–3:20</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Wat er verandert in dit niveau — drie verschuivingen</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22–24</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3:20–3:30</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Vooruitblik deel 12</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25–26</w:t>
            </w:r>
          </w:p>
        </w:tc>
      </w:tr>
    </w:tbl>
    <w:p>
      <w:pPr>
        <w:spacing w:after="180" w:line="300"/>
        <w:jc w:val="both"/>
      </w:pPr>
      <w:r>
        <w:rPr>
          <w:rFonts w:ascii="Calibri" w:cs="Calibri" w:eastAsia="Calibri" w:hAnsi="Calibri"/>
          <w:color w:val="1A1A1A"/>
          <w:sz w:val="21"/>
          <w:szCs w:val="21"/>
        </w:rPr>
        <w:t xml:space="preserve">Huiswerk voor deel 12: geen nieuwe opdracht; vraag deelnemers na te denken over een risico in hun eigen organisatie waarbij de bereidheid van een programma en die van een individueel project daarbinnen zouden kunnen verschillen — dat voorbeeld wordt in deel 12 gebruikt.</w:t>
      </w:r>
    </w:p>
    <w:p>
      <w:pPr>
        <w:pStyle w:val="Heading2"/>
        <w:spacing w:after="160" w:before="360"/>
      </w:pPr>
      <w:r>
        <w:rPr>
          <w:rFonts w:ascii="Calibri" w:cs="Calibri" w:eastAsia="Calibri" w:hAnsi="Calibri"/>
          <w:b/>
          <w:bCs/>
          <w:color w:val="2C5AA0"/>
          <w:sz w:val="26"/>
          <w:szCs w:val="26"/>
        </w:rPr>
        <w:t xml:space="preserve">Valkuilen bij de uitleg</w:t>
      </w:r>
    </w:p>
    <w:p>
      <w:pPr>
        <w:pStyle w:val="ListParagraph"/>
        <w:numPr>
          <w:ilvl w:val="0"/>
          <w:numId w:val="2"/>
        </w:numPr>
        <w:spacing w:after="100" w:line="280"/>
      </w:pPr>
      <w:r>
        <w:rPr>
          <w:rFonts w:ascii="Calibri" w:cs="Calibri" w:eastAsia="Calibri" w:hAnsi="Calibri"/>
          <w:color w:val="1A1A1A"/>
          <w:sz w:val="21"/>
          <w:szCs w:val="21"/>
        </w:rPr>
        <w:t xml:space="preserve">De nieuwe casus te snel introduceren, zonder de relatie met niveau 1 expliciet te maken. Deelnemers die niveau 1 hebben gevolgd, moeten meteen zien: dit is hetzelfde universum, Project 3 is letterlijk de WGP 2.0-herstart die zij al kennen. Dat anker maakt de rest van het deel makkelijker te volgen.</w:t>
      </w:r>
    </w:p>
    <w:p>
      <w:pPr>
        <w:pStyle w:val="ListParagraph"/>
        <w:numPr>
          <w:ilvl w:val="0"/>
          <w:numId w:val="2"/>
        </w:numPr>
        <w:spacing w:after="100" w:line="280"/>
      </w:pPr>
      <w:r>
        <w:rPr>
          <w:rFonts w:ascii="Calibri" w:cs="Calibri" w:eastAsia="Calibri" w:hAnsi="Calibri"/>
          <w:color w:val="1A1A1A"/>
          <w:sz w:val="21"/>
          <w:szCs w:val="21"/>
        </w:rPr>
        <w:t xml:space="preserve">De acht processen als pure herhaling van niveau 1 presenteren. Ze zijn niet identiek — Assess-Evaluate is nieuw als volwaardig instrument. Zorg dat dit onderscheid niet ondersneeuwt in de herkenning van de andere zeven.</w:t>
      </w:r>
    </w:p>
    <w:p>
      <w:pPr>
        <w:pStyle w:val="ListParagraph"/>
        <w:numPr>
          <w:ilvl w:val="0"/>
          <w:numId w:val="2"/>
        </w:numPr>
        <w:spacing w:after="100" w:line="280"/>
      </w:pPr>
      <w:r>
        <w:rPr>
          <w:rFonts w:ascii="Calibri" w:cs="Calibri" w:eastAsia="Calibri" w:hAnsi="Calibri"/>
          <w:color w:val="1A1A1A"/>
          <w:sz w:val="21"/>
          <w:szCs w:val="21"/>
        </w:rPr>
        <w:t xml:space="preserve">Portfolio en programma laten samenvallen. Dit is de meest voorkomende verwarring in dit deel. Opdracht 11.2 is essentieel om het onderscheid scherp te krijgen — sla deze niet over.</w:t>
      </w:r>
    </w:p>
    <w:p>
      <w:pPr>
        <w:pStyle w:val="ListParagraph"/>
        <w:numPr>
          <w:ilvl w:val="0"/>
          <w:numId w:val="2"/>
        </w:numPr>
        <w:spacing w:after="100" w:line="280"/>
      </w:pPr>
      <w:r>
        <w:rPr>
          <w:rFonts w:ascii="Calibri" w:cs="Calibri" w:eastAsia="Calibri" w:hAnsi="Calibri"/>
          <w:color w:val="1A1A1A"/>
          <w:sz w:val="21"/>
          <w:szCs w:val="21"/>
        </w:rPr>
        <w:t xml:space="preserve">Te veel tijd besteden aan MSP-terminologie voor deelnemers die de PM-cursus niet kennen. Paragraaf 11.4 van de reader is bedoeld als brug voor wie de PM-cursus wél kent; voor wie dat niet doet, is een korte uitleg van SRO en Sponsoring Group voldoende — een diepe MSP-uitleg hoort niet in deze cursus thuis.</w:t>
      </w:r>
    </w:p>
    <w:p>
      <w:pPr>
        <w:pStyle w:val="Heading2"/>
        <w:spacing w:after="160" w:before="360"/>
      </w:pPr>
      <w:r>
        <w:rPr>
          <w:rFonts w:ascii="Calibri" w:cs="Calibri" w:eastAsia="Calibri" w:hAnsi="Calibri"/>
          <w:b/>
          <w:bCs/>
          <w:color w:val="2C5AA0"/>
          <w:sz w:val="26"/>
          <w:szCs w:val="26"/>
        </w:rPr>
        <w:t xml:space="preserve">Bij welke groep werkt dit hoe</w:t>
      </w:r>
    </w:p>
    <w:p>
      <w:pPr>
        <w:spacing w:after="180" w:line="300"/>
        <w:jc w:val="both"/>
      </w:pPr>
      <w:r>
        <w:rPr>
          <w:rFonts w:ascii="Calibri" w:cs="Calibri" w:eastAsia="Calibri" w:hAnsi="Calibri"/>
          <w:b/>
          <w:bCs/>
          <w:color w:val="1B2A4A"/>
          <w:sz w:val="21"/>
          <w:szCs w:val="21"/>
        </w:rPr>
        <w:t xml:space="preserve">Deelnemers die niveau 1 van deze cursus hebben gevolgd.</w:t>
      </w:r>
      <w:r>
        <w:rPr>
          <w:rFonts w:ascii="Calibri" w:cs="Calibri" w:eastAsia="Calibri" w:hAnsi="Calibri"/>
          <w:color w:val="1A1A1A"/>
          <w:sz w:val="21"/>
          <w:szCs w:val="21"/>
        </w:rPr>
        <w:t xml:space="preserve"> Herkennen de acht processen snel via hun niveau-1-tegenhangers. Gebruik hen om sneller door de herkenbare processen te gaan en meer tijd te besteden aan Assess-Evaluate.</w:t>
      </w:r>
    </w:p>
    <w:p>
      <w:pPr>
        <w:spacing w:after="180" w:line="300"/>
        <w:jc w:val="both"/>
      </w:pPr>
      <w:r>
        <w:rPr>
          <w:rFonts w:ascii="Calibri" w:cs="Calibri" w:eastAsia="Calibri" w:hAnsi="Calibri"/>
          <w:b/>
          <w:bCs/>
          <w:color w:val="1B2A4A"/>
          <w:sz w:val="21"/>
          <w:szCs w:val="21"/>
        </w:rPr>
        <w:t xml:space="preserve">Zij-instromers zonder niveau 1 van deze cursus, maar met risicomanagementervaring elders.</w:t>
      </w:r>
      <w:r>
        <w:rPr>
          <w:rFonts w:ascii="Calibri" w:cs="Calibri" w:eastAsia="Calibri" w:hAnsi="Calibri"/>
          <w:color w:val="1A1A1A"/>
          <w:sz w:val="21"/>
          <w:szCs w:val="21"/>
        </w:rPr>
        <w:t xml:space="preserve"> Hebben mogelijk een ander mentaal model van ‘identificeren, beoordelen, reageren’ en herkennen M_o_R's specifieke indeling niet automatisch. Geef hen bij aanvang een korte samenvatting van de niveau-1-terminologie (risicozin, inherent/residueel, respons) zodat de tabel in paragraaf 11.3 volledig te volgen is.</w:t>
      </w:r>
    </w:p>
    <w:p>
      <w:pPr>
        <w:spacing w:after="180" w:line="300"/>
        <w:jc w:val="both"/>
      </w:pPr>
      <w:r>
        <w:rPr>
          <w:rFonts w:ascii="Calibri" w:cs="Calibri" w:eastAsia="Calibri" w:hAnsi="Calibri"/>
          <w:b/>
          <w:bCs/>
          <w:color w:val="1B2A4A"/>
          <w:sz w:val="21"/>
          <w:szCs w:val="21"/>
        </w:rPr>
        <w:t xml:space="preserve">Deelnemers die ook de PM-cursus volgen of hebben gevolgd.</w:t>
      </w:r>
      <w:r>
        <w:rPr>
          <w:rFonts w:ascii="Calibri" w:cs="Calibri" w:eastAsia="Calibri" w:hAnsi="Calibri"/>
          <w:color w:val="1A1A1A"/>
          <w:sz w:val="21"/>
          <w:szCs w:val="21"/>
        </w:rPr>
        <w:t xml:space="preserve"> Kunnen als resource dienen bij de uitleg van MSP-begrippen (SRO, Sponsoring Group, Justification) — betrek hen actief bij paragraaf 11.4.</w:t>
      </w:r>
    </w:p>
    <w:p>
      <w:pPr>
        <w:pStyle w:val="Heading2"/>
        <w:spacing w:after="160" w:before="360"/>
      </w:pPr>
      <w:r>
        <w:rPr>
          <w:rFonts w:ascii="Calibri" w:cs="Calibri" w:eastAsia="Calibri" w:hAnsi="Calibri"/>
          <w:b/>
          <w:bCs/>
          <w:color w:val="2C5AA0"/>
          <w:sz w:val="26"/>
          <w:szCs w:val="26"/>
        </w:rPr>
        <w:t xml:space="preserve">Discussievragen</w:t>
      </w:r>
    </w:p>
    <w:p>
      <w:pPr>
        <w:pStyle w:val="ListParagraph"/>
        <w:numPr>
          <w:ilvl w:val="0"/>
          <w:numId w:val="2"/>
        </w:numPr>
        <w:spacing w:after="100" w:line="280"/>
      </w:pPr>
      <w:r>
        <w:rPr>
          <w:rFonts w:ascii="Calibri" w:cs="Calibri" w:eastAsia="Calibri" w:hAnsi="Calibri"/>
          <w:color w:val="1A1A1A"/>
          <w:sz w:val="21"/>
          <w:szCs w:val="21"/>
        </w:rPr>
        <w:t xml:space="preserve">Kun je een voorbeeld noemen van een risico in jouw organisatie dat op projectniveau beheersbaar leek, maar dat, opgeteld met andere projecten, een groter programmadoel in gevaar bracht?</w:t>
      </w:r>
    </w:p>
    <w:p>
      <w:pPr>
        <w:pStyle w:val="ListParagraph"/>
        <w:numPr>
          <w:ilvl w:val="0"/>
          <w:numId w:val="2"/>
        </w:numPr>
        <w:spacing w:after="100" w:line="280"/>
      </w:pPr>
      <w:r>
        <w:rPr>
          <w:rFonts w:ascii="Calibri" w:cs="Calibri" w:eastAsia="Calibri" w:hAnsi="Calibri"/>
          <w:color w:val="1A1A1A"/>
          <w:sz w:val="21"/>
          <w:szCs w:val="21"/>
        </w:rPr>
        <w:t xml:space="preserve">Wanneer is in jouw organisatie voor het laatst een portfoliovraag (welke initiatieven doen we?) verward met een programmavraag (hoe coördineren we wat we al doen?)</w:t>
      </w:r>
    </w:p>
    <w:p>
      <w:pPr>
        <w:pStyle w:val="ListParagraph"/>
        <w:numPr>
          <w:ilvl w:val="0"/>
          <w:numId w:val="2"/>
        </w:numPr>
        <w:spacing w:after="100" w:line="280"/>
      </w:pPr>
      <w:r>
        <w:rPr>
          <w:rFonts w:ascii="Calibri" w:cs="Calibri" w:eastAsia="Calibri" w:hAnsi="Calibri"/>
          <w:color w:val="1A1A1A"/>
          <w:sz w:val="21"/>
          <w:szCs w:val="21"/>
        </w:rPr>
        <w:t xml:space="preserve">Project 3 (de WGP 2.0-herstart) heeft al een volledig risico-instrumentarium uit niveau 1. Project 5 heeft dat niet. Is het een probleem als de vijf projecten met een verschillend volwassenheidsniveau het programma in gaan, zolang de uitkomsten optelbaar zijn?</w:t>
      </w:r>
    </w:p>
    <w:p>
      <w:pPr>
        <w:pStyle w:val="Heading2"/>
        <w:spacing w:after="160" w:before="360"/>
      </w:pPr>
      <w:r>
        <w:rPr>
          <w:rFonts w:ascii="Calibri" w:cs="Calibri" w:eastAsia="Calibri" w:hAnsi="Calibri"/>
          <w:b/>
          <w:bCs/>
          <w:color w:val="2C5AA0"/>
          <w:sz w:val="26"/>
          <w:szCs w:val="26"/>
        </w:rPr>
        <w:t xml:space="preserve">Antwoordmodel voor de moeilijkste bespreking (opdracht 11.2, onderdeel c)</w:t>
      </w:r>
    </w:p>
    <w:p>
      <w:pPr>
        <w:spacing w:after="180" w:line="300"/>
        <w:jc w:val="both"/>
      </w:pPr>
      <w:r>
        <w:rPr>
          <w:rFonts w:ascii="Calibri" w:cs="Calibri" w:eastAsia="Calibri" w:hAnsi="Calibri"/>
          <w:color w:val="1A1A1A"/>
          <w:sz w:val="21"/>
          <w:szCs w:val="21"/>
        </w:rPr>
        <w:t xml:space="preserve">Deelnemers classificeren ‘welke twee van de vijf projecten krijgen voorrang deze maand voor IT-architectuurcapaciteit’ vaak als programmavraagstuk, omdat het over bestaande, al-gekozen projecten gaat. Laat de groep het onderscheid zelf vinden met de vraag: gaat deze vraag over hoe je iets dat al besloten is coördineert, of over hoe je schaarse middelen verdeelt tussen initiatieven die met elkaar concurreren? Het antwoord is het tweede — ook al liggen de vijf projecten al vast, de vraag ‘wie krijgt nu voorrang’ is in essentie dezelfde afweging als ‘welk nieuw initiatief starten we wel of niet’, alleen toegepast op capaciteit in plaats van op nieuwe initiatie. Dit onderscheid — de aard van de vraag, niet de organisatorische locatie — is de kern van het portfolio/programma-onderscheid.</w:t>
      </w:r>
    </w:p>
    <w:p>
      <w:pPr>
        <w:pStyle w:val="Heading2"/>
        <w:spacing w:after="160" w:before="360"/>
      </w:pPr>
      <w:r>
        <w:rPr>
          <w:rFonts w:ascii="Calibri" w:cs="Calibri" w:eastAsia="Calibri" w:hAnsi="Calibri"/>
          <w:b/>
          <w:bCs/>
          <w:color w:val="2C5AA0"/>
          <w:sz w:val="26"/>
          <w:szCs w:val="26"/>
        </w:rPr>
        <w:t xml:space="preserve">Materiaal</w:t>
      </w:r>
    </w:p>
    <w:p>
      <w:pPr>
        <w:pStyle w:val="ListParagraph"/>
        <w:numPr>
          <w:ilvl w:val="0"/>
          <w:numId w:val="2"/>
        </w:numPr>
        <w:spacing w:after="100" w:line="280"/>
      </w:pPr>
      <w:r>
        <w:rPr>
          <w:rFonts w:ascii="Calibri" w:cs="Calibri" w:eastAsia="Calibri" w:hAnsi="Calibri"/>
          <w:color w:val="1A1A1A"/>
          <w:sz w:val="21"/>
          <w:szCs w:val="21"/>
        </w:rPr>
        <w:t xml:space="preserve">Een overzichtskaart van de vijf projecten van het Mutatieplatform-programma (namen, korte omschrijving, relatie tot Project 3/niveau 1), uit te delen of te tonen als blijvend naslagwerk voor de rest van dit niveau.</w:t>
      </w:r>
    </w:p>
    <w:p>
      <w:pPr>
        <w:pStyle w:val="ListParagraph"/>
        <w:numPr>
          <w:ilvl w:val="0"/>
          <w:numId w:val="2"/>
        </w:numPr>
        <w:spacing w:after="100" w:line="280"/>
      </w:pPr>
      <w:r>
        <w:rPr>
          <w:rFonts w:ascii="Calibri" w:cs="Calibri" w:eastAsia="Calibri" w:hAnsi="Calibri"/>
          <w:color w:val="1A1A1A"/>
          <w:sz w:val="21"/>
          <w:szCs w:val="21"/>
        </w:rPr>
        <w:t xml:space="preserve">De tabel met acht processen (paragraaf 11.3) als uitdeelblad, met ruimte om zelf de niveau-1-koppeling erbij te schrijven tijdens opdracht 11.3.</w:t>
      </w:r>
    </w:p>
    <w:p>
      <w:pPr>
        <w:pStyle w:val="Heading2"/>
        <w:spacing w:after="160" w:before="360"/>
      </w:pPr>
      <w:r>
        <w:rPr>
          <w:rFonts w:ascii="Calibri" w:cs="Calibri" w:eastAsia="Calibri" w:hAnsi="Calibri"/>
          <w:b/>
          <w:bCs/>
          <w:color w:val="2C5AA0"/>
          <w:sz w:val="26"/>
          <w:szCs w:val="26"/>
        </w:rPr>
        <w:t xml:space="preserve">Aansluiting op deel 12</w:t>
      </w:r>
    </w:p>
    <w:p>
      <w:pPr>
        <w:spacing w:after="180" w:line="300"/>
        <w:jc w:val="both"/>
      </w:pPr>
      <w:r>
        <w:rPr>
          <w:rFonts w:ascii="Calibri" w:cs="Calibri" w:eastAsia="Calibri" w:hAnsi="Calibri"/>
          <w:color w:val="1A1A1A"/>
          <w:sz w:val="21"/>
          <w:szCs w:val="21"/>
        </w:rPr>
        <w:t xml:space="preserve">Sluit af met: het vierde M_o_R-principe — heldere richting geven — is tot nu toe alleen genoemd. Deel 12 maakt het concreet: wat is risicobereidheid eigenlijk, hoe verhoudt die zich tot risicocapaciteit en tolerantie, en wat doe je als vijf projecten binnen hetzelfde programma impliciet vijf verschillende bereidheden blijken te hanteren?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2026-08-16T12:40:59.080Z</dcterms:created>
  <dcterms:modified xsi:type="dcterms:W3CDTF">2026-08-16T12:40:59.081Z</dcterms:modified>
</cp:coreProperties>
</file>

<file path=docProps/custom.xml><?xml version="1.0" encoding="utf-8"?>
<Properties xmlns="http://schemas.openxmlformats.org/officeDocument/2006/custom-properties" xmlns:vt="http://schemas.openxmlformats.org/officeDocument/2006/docPropsVTypes"/>
</file>