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B2A4A"/>
          <w:sz w:val="44"/>
          <w:szCs w:val="44"/>
        </w:rPr>
        <w:t xml:space="preserve">RISICOMANAGEMENT</w:t>
      </w:r>
    </w:p>
    <w:p>
      <w:pPr>
        <w:spacing w:before="300"/>
        <w:jc w:val="center"/>
      </w:pPr>
      <w:r>
        <w:rPr>
          <w:rFonts w:ascii="Calibri" w:cs="Calibri" w:eastAsia="Calibri" w:hAnsi="Calibri"/>
          <w:color w:val="2C5AA0"/>
          <w:sz w:val="32"/>
          <w:szCs w:val="32"/>
        </w:rPr>
        <w:t xml:space="preserve">Deel 11 — M_o_R 4: van project naar de hele onderneming</w:t>
      </w:r>
    </w:p>
    <w:p>
      <w:pPr>
        <w:spacing w:before="600"/>
        <w:jc w:val="center"/>
      </w:pPr>
      <w:r>
        <w:rPr>
          <w:rFonts w:ascii="Calibri" w:cs="Calibri" w:eastAsia="Calibri" w:hAnsi="Calibri"/>
          <w:b/>
          <w:bCs/>
          <w:color w:val="1B2A4A"/>
          <w:sz w:val="24"/>
          <w:szCs w:val="24"/>
        </w:rPr>
        <w:t xml:space="preserve">Niveau 2 — Professional</w:t>
      </w:r>
    </w:p>
    <w:p>
      <w:pPr>
        <w:spacing w:before="200"/>
        <w:jc w:val="center"/>
      </w:pPr>
      <w:r>
        <w:rPr>
          <w:rFonts w:ascii="Calibri" w:cs="Calibri" w:eastAsia="Calibri" w:hAnsi="Calibri"/>
          <w:i/>
          <w:iCs/>
          <w:color w:val="D99A3D"/>
          <w:sz w:val="24"/>
          <w:szCs w:val="24"/>
        </w:rPr>
        <w:t xml:space="preserve">Werkboek</w:t>
      </w:r>
    </w:p>
    <w:p>
      <w:pPr>
        <w:spacing w:before="1200"/>
        <w:jc w:val="center"/>
      </w:pPr>
      <w:r>
        <w:rPr>
          <w:rFonts w:ascii="Calibri" w:cs="Calibri" w:eastAsia="Calibri" w:hAnsi="Calibri"/>
          <w:color w:val="8B93A5"/>
          <w:sz w:val="20"/>
          <w:szCs w:val="20"/>
        </w:rPr>
        <w:t xml:space="preserve">Ductus</w:t>
      </w:r>
    </w:p>
    <w:p>
      <w:r>
        <w:br w:type="page"/>
      </w:r>
    </w:p>
    <w:p>
      <w:pPr>
        <w:pStyle w:val="Heading1"/>
        <w:pBdr>
          <w:bottom w:val="single" w:color="1B2A4A" w:sz="6" w:space="4"/>
        </w:pBdr>
        <w:spacing w:after="240" w:before="480"/>
      </w:pPr>
      <w:r>
        <w:rPr>
          <w:rFonts w:ascii="Calibri" w:cs="Calibri" w:eastAsia="Calibri" w:hAnsi="Calibri"/>
          <w:b/>
          <w:bCs/>
          <w:color w:val="1B2A4A"/>
          <w:sz w:val="32"/>
          <w:szCs w:val="32"/>
        </w:rPr>
        <w:t xml:space="preserve">Deel 11 — Werkboek</w:t>
      </w:r>
    </w:p>
    <w:p>
      <w:pPr>
        <w:spacing w:after="180" w:line="300"/>
        <w:jc w:val="both"/>
      </w:pPr>
      <w:r>
        <w:rPr>
          <w:rFonts w:ascii="Calibri" w:cs="Calibri" w:eastAsia="Calibri" w:hAnsi="Calibri"/>
          <w:i/>
          <w:iCs/>
          <w:color w:val="1A1A1A"/>
          <w:sz w:val="21"/>
          <w:szCs w:val="21"/>
        </w:rPr>
        <w:t xml:space="preserve">Werk de opdrachten uit vóórdat je de uitwerking leest.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2C5AA0"/>
          <w:sz w:val="26"/>
          <w:szCs w:val="26"/>
        </w:rPr>
        <w:t xml:space="preserve">Opdracht 11.1 — De vier principes op programmaniveau</w:t>
      </w:r>
    </w:p>
    <w:p>
      <w:pPr>
        <w:spacing w:after="180" w:line="300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Voor elk van de vier M_o_R-principes: geef een voorbeeld uit het Mutatieplatform-programma (of uit je eigen praktijk) waarin het principe op programmaniveau iets anders betekent dan het op projectniveau zou betekenen.</w:t>
      </w:r>
    </w:p>
    <w:tbl>
      <w:tblPr>
        <w:tblW w:type="pct" w:w="100%"/>
        <w:tblBorders>
          <w:top w:val="single" w:color="1B2A4A" w:sz="2"/>
          <w:left w:val="single" w:color="1B2A4A" w:sz="2"/>
          <w:bottom w:val="single" w:color="1B2A4A" w:sz="2"/>
          <w:right w:val="single" w:color="1B2A4A" w:sz="2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E8E9EC" w:color="auto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Uitwerking</w:t>
            </w:r>
          </w:p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Geen uitputtend antwoord — hieronder een richtinggevend voorbeeld per principe, gebaseerd op het Mutatieplatform.
Waarde creëren en beschermen: op projectniveau — ‘dit risico raakt de opleverdatum van Project 2.’ Op programmaniveau — ‘zelfs als elk van de vijf projecten op tijd oplevert, is er een risico dat de integratie tussen Project 2 en Project 3 de doorlooptijdhalving zelf ondermijnt.’
Past bij de context: op projectniveau — welke schaal past bij dit ene project. Op programmaniveau — hoe zorg je dat vijf projecten met verschillende volwassenheidsniveaus toch vergelijkbare, optelbare uitkomsten opleveren.
Betrekt belanghebbenden: op projectniveau — de projectmanager en het team. Op programmaniveau — de Sponsoring Group, de SRO, en de vraag hoe risico-informatie van vijf verschillende teams wordt samengebracht zonder dat de nuance verloren gaat.
Geeft heldere richting: op projectniveau — een tolerantie voor dit ene project. Op programmaniveau — een risicobereidheid die voor alle vijf projecten tegelijk als toetssteen dient, ook als de projecten onderling verschillende risicoprofielen hebben.</w:t>
            </w:r>
          </w:p>
        </w:tc>
      </w:tr>
    </w:tbl>
    <w:p>
      <w:pPr>
        <w:spacing w:after="180" w:line="300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/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2C5AA0"/>
          <w:sz w:val="26"/>
          <w:szCs w:val="26"/>
        </w:rPr>
        <w:t xml:space="preserve">Opdracht 11.2 — Portfolio of programma?</w:t>
      </w:r>
    </w:p>
    <w:p>
      <w:pPr>
        <w:spacing w:after="180" w:line="300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Bepaal voor elk van de volgende vraagstukken of het een portfolio- of een programmaperspectief vraagt.</w:t>
      </w:r>
    </w:p>
    <w:p>
      <w:pPr>
        <w:spacing w:after="180" w:line="300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a) “Moeten we een zesde project starten voor werkgevers met een buitenlandse vestiging, of eerst de bestaande vijf afmaken?”</w:t>
      </w:r>
    </w:p>
    <w:p>
      <w:pPr>
        <w:spacing w:after="180" w:line="300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b) “Hoe zorgen we dat Project 2 en Project 4 dezelfde definitie van ‘mutatie’ gebruiken?”</w:t>
      </w:r>
    </w:p>
    <w:p>
      <w:pPr>
        <w:spacing w:after="180" w:line="300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c) “We hebben beperkt IT-architectuurcapaciteit — welke twee van de vijf projecten krijgen voorrang deze maand?”</w:t>
      </w:r>
    </w:p>
    <w:p>
      <w:pPr>
        <w:spacing w:after="180" w:line="300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d) “Project 5 loopt achter — welk effect heeft dat op de geplande livegang van Project 2?”</w:t>
      </w:r>
    </w:p>
    <w:tbl>
      <w:tblPr>
        <w:tblW w:type="pct" w:w="100%"/>
        <w:tblBorders>
          <w:top w:val="single" w:color="1B2A4A" w:sz="2"/>
          <w:left w:val="single" w:color="1B2A4A" w:sz="2"/>
          <w:bottom w:val="single" w:color="1B2A4A" w:sz="2"/>
          <w:right w:val="single" w:color="1B2A4A" w:sz="2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E8E9EC" w:color="auto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Uitwerking</w:t>
            </w:r>
          </w:p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a) Portfolio. Een vraag over welke initiatieven worden gedaan, gegeven beperkte middelen.
b) Programma. Coördinatie tussen al-gekozen projecten om een gezamenlijk doel te bereiken.
c) Portfolio, ook al gaat het over bestaande projecten — de vraag is een prioritéringsvraag over schaarse middelen tussen initiatieven, het klassieke portfoliovraagstuk.
d) Programma. Een afhankelijkheid tussen twee projecten binnen hetzelfde programma, gericht op het gezamenlijke doel.
Discussiepunt bij c: dit voorbeeld laat zien dat portfoliovraagstukken ook binnen een lopend programma kunnen opduiken — het onderscheid zit in de aard van de vraag (verdelen van schaarste tussen initiatieven versus coördineren van al-gekozen werk), niet in of het ‘buiten’ of ‘binnen’ het programma valt.</w:t>
            </w:r>
          </w:p>
        </w:tc>
      </w:tr>
    </w:tbl>
    <w:p>
      <w:pPr>
        <w:spacing w:after="180" w:line="300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/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2C5AA0"/>
          <w:sz w:val="26"/>
          <w:szCs w:val="26"/>
        </w:rPr>
        <w:t xml:space="preserve">Opdracht 11.3 — De acht processen herkennen</w:t>
      </w:r>
    </w:p>
    <w:p>
      <w:pPr>
        <w:spacing w:after="180" w:line="300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Onderstaande situaties horen elk bij één van de acht M_o_R-processen uit paragraaf 11.3. Benoem welke.</w:t>
      </w:r>
    </w:p>
    <w:p>
      <w:pPr>
        <w:spacing w:after="180" w:line="300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a) Sanne stelt vast welke doelstellingen, interne en externe factoren relevant zijn voor het hele Mutatieplatform-programma.</w:t>
      </w:r>
    </w:p>
    <w:p>
      <w:pPr>
        <w:spacing w:after="180" w:line="300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b) Een projectteam schat in hoe waarschijnlijk en hoe ernstig een geïdentificeerd risico is.</w:t>
      </w:r>
    </w:p>
    <w:p>
      <w:pPr>
        <w:spacing w:after="180" w:line="300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c) Sanne toetst of een risico met een gegeven score binnen de vastgestelde risicobereidheid van het programma valt.</w:t>
      </w:r>
    </w:p>
    <w:p>
      <w:pPr>
        <w:spacing w:after="180" w:line="300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d) Er wordt een maandelijkse nieuwsbrief opgesteld die de status van alle risico's over de vijf projecten samenvat voor de Sponsoring Group.</w:t>
      </w:r>
    </w:p>
    <w:p>
      <w:pPr>
        <w:spacing w:after="180" w:line="300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e) Een jaarlijkse evaluatie stelt vast of het risicomanagementproces van het programma zelf nog goed functioneert.</w:t>
      </w:r>
    </w:p>
    <w:tbl>
      <w:tblPr>
        <w:tblW w:type="pct" w:w="100%"/>
        <w:tblBorders>
          <w:top w:val="single" w:color="1B2A4A" w:sz="2"/>
          <w:left w:val="single" w:color="1B2A4A" w:sz="2"/>
          <w:bottom w:val="single" w:color="1B2A4A" w:sz="2"/>
          <w:right w:val="single" w:color="1B2A4A" w:sz="2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E8E9EC" w:color="auto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Uitwerking</w:t>
            </w:r>
          </w:p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a) Identify — Context
b) Assess — Estimate
c) Assess — Evaluate (het nieuwe element van dit niveau — toetsen tegen risicobereidheid)
d) Communicate
e) Embed and review
Wat je hier moet meenemen: c is het proces dat in niveau 1 nog niet volledig was uitgewerkt (daar was er alleen een grove, verbale uitspraak over risicobereidheid). Dat is precies waarom deel 12 hierop volgt.</w:t>
            </w:r>
          </w:p>
        </w:tc>
      </w:tr>
    </w:tbl>
    <w:p>
      <w:pPr>
        <w:spacing w:after="180" w:line="300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/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2C5AA0"/>
          <w:sz w:val="26"/>
          <w:szCs w:val="26"/>
        </w:rPr>
        <w:t xml:space="preserve">Opdracht 11.4 — PM-cursus deel 18, ingevuld</w:t>
      </w:r>
    </w:p>
    <w:p>
      <w:pPr>
        <w:spacing w:after="180" w:line="300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De cursus Project- en Programmamanagement noemt in deel 18 vier onderwerpen die daar bewust oppervlakkig blijven: geaggregeerd risico, Assurance/three lines of defence, Decisions, en risicobereidheid programma vs project. Voor elk van deze vier: in welk deel van dit niveau (11-22) wordt het onderwerp volledig uitgewerkt?</w:t>
      </w:r>
    </w:p>
    <w:tbl>
      <w:tblPr>
        <w:tblW w:type="pct" w:w="100%"/>
        <w:tblBorders>
          <w:top w:val="single" w:color="1B2A4A" w:sz="2"/>
          <w:left w:val="single" w:color="1B2A4A" w:sz="2"/>
          <w:bottom w:val="single" w:color="1B2A4A" w:sz="2"/>
          <w:right w:val="single" w:color="1B2A4A" w:sz="2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E8E9EC" w:color="auto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Uitwerking</w:t>
            </w:r>
          </w:p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Geaggregeerd risico → deel 17
Assurance/three lines of defence → deel 21 (met een korte introductie al in niveau 1, deel 9)
Decisions → verspreid door het hele niveau, in elke responskeuze op programmaschaal (met name deel 14-16)
Risicobereidheid programma vs project → deel 12, het eerstvolgende deel
Wat je hier moet meenemen: deze vier onderwerpen zijn niet toevallig gekozen door de PM-cursus — het zijn precies de onderwerpen die een apart, verdiepend vak vereisen. Dat is de reden dat deze risicomanagementcursus bestaat.</w:t>
            </w:r>
          </w:p>
        </w:tc>
      </w:tr>
    </w:tbl>
    <w:p>
      <w:pPr>
        <w:spacing w:after="180" w:line="300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/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2C5AA0"/>
          <w:sz w:val="26"/>
          <w:szCs w:val="26"/>
        </w:rPr>
        <w:t xml:space="preserve">Zelftoets deel 11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1. Wie is Sanne nu, en welk programma leidt zij?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2. Welke vijf projecten vallen onder het Mutatieplatform, en wat was Project 3 in niveau 1?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3. Noem de vier principes van M_o_R 4.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4. Noem de zes perspectieven, en welke twee krijgen in dit niveau extra nadruk?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5. Noem de acht processen van M_o_R 4, in de juiste twee groepen.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6. Welk van de acht processen is het nieuwe element van dit niveau, en waarom?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7. Noem de drie structurele verschuivingen die niveau 2 kenmerken ten opzichte van niveau 1.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2C5AA0"/>
          <w:sz w:val="26"/>
          <w:szCs w:val="26"/>
        </w:rPr>
        <w:t xml:space="preserve">Antwoorden zelftoets</w:t>
      </w:r>
    </w:p>
    <w:p>
      <w:pPr>
        <w:spacing w:after="180" w:line="300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1. Sanne Bakhuis, nu programma-risicomanager van het Mutatieplatform-programma bij Meridiaan Pensioen.</w:t>
      </w:r>
    </w:p>
    <w:p>
      <w:pPr>
        <w:spacing w:after="180" w:line="300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2. Project 1 Werkgeversportaal, Project 2 Verwerkingsengine, Project 3 Conversie en Koppelingen (de WGP 2.0-herstart uit niveau 1), Project 4 Deelnemerscommunicatie, Project 5 Datakwaliteit en Opschoning. Doel van het programma: doorlooptijdhalvering van veertien naar zeven werkdagen.</w:t>
      </w:r>
    </w:p>
    <w:p>
      <w:pPr>
        <w:spacing w:after="180" w:line="300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3. Waarde creëren en beschermen; past bij de context; betrekt belanghebbenden; geeft heldere richting.</w:t>
      </w:r>
    </w:p>
    <w:p>
      <w:pPr>
        <w:spacing w:after="180" w:line="300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4. Strategisch, portfolio, programma, project, product, operationeel — met dit niveau extra nadruk op portfolio en programma.</w:t>
      </w:r>
    </w:p>
    <w:p>
      <w:pPr>
        <w:spacing w:after="180" w:line="300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5. Opeenvolgend: Identify-Context, Identify-Risks, Assess-Estimate, Assess-Evaluate, Plan, Implement. Doorlopend: Communicate, Embed and review.</w:t>
      </w:r>
    </w:p>
    <w:p>
      <w:pPr>
        <w:spacing w:after="180" w:line="300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6. Assess-Evaluate — expliciet toetsen tegen risicobereidheid was in niveau 1 nog maar een grove, verbale uitspraak; dat wordt in deel 12 een volwaardig instrument.</w:t>
      </w:r>
    </w:p>
    <w:p>
      <w:pPr>
        <w:spacing w:after="180" w:line="300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7. Van één casus naar vijf die met elkaar moeten optellen; van kwalitatief naar kwalitatief-én-kwantitatief; van projectrisico naar risico in de bredere organisatie.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  <w:lvl w:ilvl="1" w15:tentative="1">
      <w:start w:val="1"/>
      <w:numFmt w:val="bullet"/>
      <w:lvlText w:val="◦"/>
      <w:lvlJc w:val="left"/>
      <w:pPr>
        <w:ind w:left="1008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2026-08-16T12:40:58.919Z</dcterms:created>
  <dcterms:modified xsi:type="dcterms:W3CDTF">2026-08-16T12:40:58.920Z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