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12 — Risicobereidheid, -capaciteit en toleranties</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12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maakt het vierde M_o_R-principe (heldere richting geven) concreet, en het lost de vraag op die zowel in PM-cursus deel 18 als in de goedgekeurde opzet van deze cursus expliciet is aangestipt: risicobereidheid programma versus project. Dit is inhoudelijk een van de dichtste delen van niveau 2 — drie nauw verwante begrippen die voortdurend worden verward, en een casus die pas overtuigt als de inconsistenties in paragraaf 12.5 echt voelbaar worden.</w:t>
      </w:r>
    </w:p>
    <w:p>
      <w:pPr>
        <w:spacing w:after="180" w:line="300"/>
        <w:jc w:val="both"/>
      </w:pPr>
      <w:r>
        <w:rPr>
          <w:rFonts w:ascii="Calibri" w:cs="Calibri" w:eastAsia="Calibri" w:hAnsi="Calibri"/>
          <w:color w:val="1A1A1A"/>
          <w:sz w:val="21"/>
          <w:szCs w:val="21"/>
        </w:rPr>
        <w:t xml:space="preserve">Bewaak vooral het onderscheid tussen risicobereidheid en risicocapaciteit — dat is de meest voorkomende verwarring, ook bij ervaren deelnemers. Een goede vuistregel om te herhalen: capaciteit is een gegeven dat je berekent, bereidheid is een keuze die je maakt binnen dat gegeven.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risicobereidheid, risicocapaciteit en risicotolerantie definiëren en hun hiërarchische verhouding uitleggen;</w:t>
      </w:r>
    </w:p>
    <w:p>
      <w:pPr>
        <w:pStyle w:val="ListParagraph"/>
        <w:numPr>
          <w:ilvl w:val="0"/>
          <w:numId w:val="2"/>
        </w:numPr>
        <w:spacing w:after="100" w:line="280"/>
      </w:pPr>
      <w:r>
        <w:rPr>
          <w:rFonts w:ascii="Calibri" w:cs="Calibri" w:eastAsia="Calibri" w:hAnsi="Calibri"/>
          <w:color w:val="1A1A1A"/>
          <w:sz w:val="21"/>
          <w:szCs w:val="21"/>
        </w:rPr>
        <w:t xml:space="preserve">Kernzin 7 toepassen en een risicobereidheid-uitspraak vertalen naar een concrete, projectspecifieke tolerantie;</w:t>
      </w:r>
    </w:p>
    <w:p>
      <w:pPr>
        <w:pStyle w:val="ListParagraph"/>
        <w:numPr>
          <w:ilvl w:val="0"/>
          <w:numId w:val="2"/>
        </w:numPr>
        <w:spacing w:after="100" w:line="280"/>
      </w:pPr>
      <w:r>
        <w:rPr>
          <w:rFonts w:ascii="Calibri" w:cs="Calibri" w:eastAsia="Calibri" w:hAnsi="Calibri"/>
          <w:color w:val="1A1A1A"/>
          <w:sz w:val="21"/>
          <w:szCs w:val="21"/>
        </w:rPr>
        <w:t xml:space="preserve">beargumenteren waarom een programma een striktere of ruimere risicobereidheid kan hebben dan de optelsom van zijn projecten, met een voorbeeld van elk;</w:t>
      </w:r>
    </w:p>
    <w:p>
      <w:pPr>
        <w:pStyle w:val="ListParagraph"/>
        <w:numPr>
          <w:ilvl w:val="0"/>
          <w:numId w:val="2"/>
        </w:numPr>
        <w:spacing w:after="100" w:line="280"/>
      </w:pPr>
      <w:r>
        <w:rPr>
          <w:rFonts w:ascii="Calibri" w:cs="Calibri" w:eastAsia="Calibri" w:hAnsi="Calibri"/>
          <w:color w:val="1A1A1A"/>
          <w:sz w:val="21"/>
          <w:szCs w:val="21"/>
        </w:rPr>
        <w:t xml:space="preserve">inconsistenties tussen projecttoleranties binnen hetzelfde programma herkennen en het risico van het optellen van niet-vergelijkbare toleranties benoemen.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11, de vijf stiltes</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 begrippen, hiërarchie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6–10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12.1</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Kernzin 7, van boardroom-taal naar tolerantie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11–13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1:35–2:05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vier bereidheidsregels, opdracht 12.2</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14–15,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2:05–2:20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2:20–2:50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Risicobereidheid programma vs project, opdracht 12.3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16–19,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2:50–3:10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Risicocapaciteit, het harde plafond</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20–21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3:10–3:25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oefening — vijf toleranties, drie inconsistenties, opdracht 12.4</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22–24</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13</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25</w:t>
            </w:r>
          </w:p>
        </w:tc>
      </w:tr>
    </w:tbl>
    <w:p>
      <w:pPr>
        <w:spacing w:after="180" w:line="300"/>
        <w:jc w:val="both"/>
      </w:pPr>
      <w:r>
        <w:rPr>
          <w:rFonts w:ascii="Calibri" w:cs="Calibri" w:eastAsia="Calibri" w:hAnsi="Calibri"/>
          <w:color w:val="1A1A1A"/>
          <w:sz w:val="21"/>
          <w:szCs w:val="21"/>
        </w:rPr>
        <w:t xml:space="preserve">Huiswerk voor deel 13: geen nieuwe formele opdracht; vraag deelnemers een eigen (fictieve of werkelijke) risicobereidheid-verklaring van vier regels te schrijven voor een programma of samenhangend geheel van projecten uit hun eigen praktijk — dit materiaal wordt in deel 13 gebruikt bij identificatie op programmaschaal.</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Risicobereidheid en risicocapaciteit laten samenvallen. Herhaal het onderscheid meerdere keren op verschillende manieren: capaciteit is berekend, bereidheid is gekozen; capaciteit is het plafond, bereidheid zit daaronder; een organisatie met veel capaciteit kan alsnog een lage bereidheid kiezen.</w:t>
      </w:r>
    </w:p>
    <w:p>
      <w:pPr>
        <w:pStyle w:val="ListParagraph"/>
        <w:numPr>
          <w:ilvl w:val="0"/>
          <w:numId w:val="2"/>
        </w:numPr>
        <w:spacing w:after="100" w:line="280"/>
      </w:pPr>
      <w:r>
        <w:rPr>
          <w:rFonts w:ascii="Calibri" w:cs="Calibri" w:eastAsia="Calibri" w:hAnsi="Calibri"/>
          <w:color w:val="1A1A1A"/>
          <w:sz w:val="21"/>
          <w:szCs w:val="21"/>
        </w:rPr>
        <w:t xml:space="preserve">De vier bereidheidsregels van Sanne als het enige juiste format presenteren. Dit is één voorbeeld van hoe een risicobereidheid-verklaring eruit kan zien, niet een verplicht sjabloon. Benadruk dat het aantal regels en het detailniveau per organisatie kunnen verschillen.</w:t>
      </w:r>
    </w:p>
    <w:p>
      <w:pPr>
        <w:pStyle w:val="ListParagraph"/>
        <w:numPr>
          <w:ilvl w:val="0"/>
          <w:numId w:val="2"/>
        </w:numPr>
        <w:spacing w:after="100" w:line="280"/>
      </w:pPr>
      <w:r>
        <w:rPr>
          <w:rFonts w:ascii="Calibri" w:cs="Calibri" w:eastAsia="Calibri" w:hAnsi="Calibri"/>
          <w:color w:val="1A1A1A"/>
          <w:sz w:val="21"/>
          <w:szCs w:val="21"/>
        </w:rPr>
        <w:t xml:space="preserve">‘Programma strenger of ruimer’ als vaste regel laten klinken. Er is geen vaste richting — het hangt af van de relatie tussen het project en het programmadoel (kritiek pad versus randvoorwaarde). Opdracht 12.3 is bedoeld om deze nuance te laten landen, niet om een simpele stelregel te bevestigen.</w:t>
      </w:r>
    </w:p>
    <w:p>
      <w:pPr>
        <w:pStyle w:val="ListParagraph"/>
        <w:numPr>
          <w:ilvl w:val="0"/>
          <w:numId w:val="2"/>
        </w:numPr>
        <w:spacing w:after="100" w:line="280"/>
      </w:pPr>
      <w:r>
        <w:rPr>
          <w:rFonts w:ascii="Calibri" w:cs="Calibri" w:eastAsia="Calibri" w:hAnsi="Calibri"/>
          <w:color w:val="1A1A1A"/>
          <w:sz w:val="21"/>
          <w:szCs w:val="21"/>
        </w:rPr>
        <w:t xml:space="preserve">Opdracht 12.4 te snel afdoen als ‘een detail over boekhouding’. Het is een illustratie van een structureel probleem dat in vrijwel elk programma opduikt zodra losse projecttoleranties voor het eerst worden vergeleken. Besteed er echt de aangegeven tijd aan.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met een financiële of actuariële achtergrond.</w:t>
      </w:r>
      <w:r>
        <w:rPr>
          <w:rFonts w:ascii="Calibri" w:cs="Calibri" w:eastAsia="Calibri" w:hAnsi="Calibri"/>
          <w:color w:val="1A1A1A"/>
          <w:sz w:val="21"/>
          <w:szCs w:val="21"/>
        </w:rPr>
        <w:t xml:space="preserve"> Herkennen het onderscheid appetite/capacity/tolerance vaak al uit de COSO- of Solvency II-wereld, en kunnen het gesprek verdiepen. Gebruik hen om de discussie bij opdracht 12.1 aan te scherpen, met name rond de vraag wanneer iets kwalitatief (bereidheid) versus kwantitatief (tolerantie) hoort te zijn.</w:t>
      </w:r>
    </w:p>
    <w:p>
      <w:pPr>
        <w:spacing w:after="180" w:line="300"/>
        <w:jc w:val="both"/>
      </w:pPr>
      <w:r>
        <w:rPr>
          <w:rFonts w:ascii="Calibri" w:cs="Calibri" w:eastAsia="Calibri" w:hAnsi="Calibri"/>
          <w:b/>
          <w:bCs/>
          <w:color w:val="1B2A4A"/>
          <w:sz w:val="21"/>
          <w:szCs w:val="21"/>
        </w:rPr>
        <w:t xml:space="preserve">Projectmanagers uit de vijf-projecten-praktijk (of vergelijkbaar).</w:t>
      </w:r>
      <w:r>
        <w:rPr>
          <w:rFonts w:ascii="Calibri" w:cs="Calibri" w:eastAsia="Calibri" w:hAnsi="Calibri"/>
          <w:color w:val="1A1A1A"/>
          <w:sz w:val="21"/>
          <w:szCs w:val="21"/>
        </w:rPr>
        <w:t xml:space="preserve"> Herkennen de ‘vijf stiltes’ uit de opening onmiddellijk uit eigen ervaring. Vraag hen naar een eigen voorbeeld vóór je de casus introduceert — dat vergroot de herkenning voor de rest van de groep.</w:t>
      </w:r>
    </w:p>
    <w:p>
      <w:pPr>
        <w:spacing w:after="180" w:line="300"/>
        <w:jc w:val="both"/>
      </w:pPr>
      <w:r>
        <w:rPr>
          <w:rFonts w:ascii="Calibri" w:cs="Calibri" w:eastAsia="Calibri" w:hAnsi="Calibri"/>
          <w:b/>
          <w:bCs/>
          <w:color w:val="1B2A4A"/>
          <w:sz w:val="21"/>
          <w:szCs w:val="21"/>
        </w:rPr>
        <w:t xml:space="preserve">Deelnemers die moeite hebben met abstractie.</w:t>
      </w:r>
      <w:r>
        <w:rPr>
          <w:rFonts w:ascii="Calibri" w:cs="Calibri" w:eastAsia="Calibri" w:hAnsi="Calibri"/>
          <w:color w:val="1A1A1A"/>
          <w:sz w:val="21"/>
          <w:szCs w:val="21"/>
        </w:rPr>
        <w:t xml:space="preserve"> Kunnen baat hebben bij het concentrische-cirkels-figuur (paragraaf 12.1) als vast visueel anker gedurende het hele dagdeel — verwijs er bij elke nieuwe stap naar terug.</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een expliciete, vastgelegde risicobereidheid-verklaring, of bestaat die alleen impliciet, in de hoofden van leidinggevenden?</w:t>
      </w:r>
    </w:p>
    <w:p>
      <w:pPr>
        <w:pStyle w:val="ListParagraph"/>
        <w:numPr>
          <w:ilvl w:val="0"/>
          <w:numId w:val="2"/>
        </w:numPr>
        <w:spacing w:after="100" w:line="280"/>
      </w:pPr>
      <w:r>
        <w:rPr>
          <w:rFonts w:ascii="Calibri" w:cs="Calibri" w:eastAsia="Calibri" w:hAnsi="Calibri"/>
          <w:color w:val="1A1A1A"/>
          <w:sz w:val="21"/>
          <w:szCs w:val="21"/>
        </w:rPr>
        <w:t xml:space="preserve">Ken je een voorbeeld waarin de bereidheid van een programma of afdeling botste met de bereidheid van een individueel team daarbinnen? Hoe is dat conflict destijds opgelost — of is het nooit opgelost?</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risico dat, als het zich zou voordoen, niet alleen de bereidheid maar ook de daadwerkelijke capaciteit zou raken? Wie zou daar dan als eerste bij betrokken moeten worden?</w:t>
      </w:r>
    </w:p>
    <w:p>
      <w:pPr>
        <w:pStyle w:val="Heading2"/>
        <w:spacing w:after="160" w:before="360"/>
      </w:pPr>
      <w:r>
        <w:rPr>
          <w:rFonts w:ascii="Calibri" w:cs="Calibri" w:eastAsia="Calibri" w:hAnsi="Calibri"/>
          <w:b/>
          <w:bCs/>
          <w:color w:val="2C5AA0"/>
          <w:sz w:val="26"/>
          <w:szCs w:val="26"/>
        </w:rPr>
        <w:t xml:space="preserve">Antwoordmodel voor de moeilijkste bespreking (opdracht 12.3)</w:t>
      </w:r>
    </w:p>
    <w:p>
      <w:pPr>
        <w:spacing w:after="180" w:line="300"/>
        <w:jc w:val="both"/>
      </w:pPr>
      <w:r>
        <w:rPr>
          <w:rFonts w:ascii="Calibri" w:cs="Calibri" w:eastAsia="Calibri" w:hAnsi="Calibri"/>
          <w:color w:val="1A1A1A"/>
          <w:sz w:val="21"/>
          <w:szCs w:val="21"/>
        </w:rPr>
        <w:t xml:space="preserve">Deelnemers hebben soms de neiging te concluderen dat ‘de grootste vertraging altijd het strengste antwoord vereist’ — dus dat Project 5 (dat over meer tijd voor opschoning zou willen beschikken) ook strenger behandeld zou moeten worden. Laat de groep zelf ontdekken waarom dat niet klopt door te vragen: ligt dit project op het kritieke pad naar het programmadoel, of is het een randvoorwaarde die het programma ook met een iets lagere kwaliteitslat kan halen? Project 2 zit op het kritieke pad — elke vertraging daar vertraagt het hele programma. Project 5's opschoningskwaliteit is belangrijk, maar de Sponsoring Group kan besluiten dat ‘goed genoeg nu, verder verbeteren later’ een aanvaardbare afweging is zolang de kern (nieuwe mutaties) klopt. Het onderscheid zit niet in hoe vervelend een vertraging voelt, maar in de structurele positie van het project ten opzichte van het programmadoel.</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concentrische-cirkels-figuur (paragraaf 12.1) als groot geprint of digitaal getoond naslagwerk voor het hele dagdeel.</w:t>
      </w:r>
    </w:p>
    <w:p>
      <w:pPr>
        <w:pStyle w:val="ListParagraph"/>
        <w:numPr>
          <w:ilvl w:val="0"/>
          <w:numId w:val="2"/>
        </w:numPr>
        <w:spacing w:after="100" w:line="280"/>
      </w:pPr>
      <w:r>
        <w:rPr>
          <w:rFonts w:ascii="Calibri" w:cs="Calibri" w:eastAsia="Calibri" w:hAnsi="Calibri"/>
          <w:color w:val="1A1A1A"/>
          <w:sz w:val="21"/>
          <w:szCs w:val="21"/>
        </w:rPr>
        <w:t xml:space="preserve">De vier bereidheidsregels van Sanne (paragraaf 12.2), uitgeprint, voor gebruik bij opdracht 12.2.</w:t>
      </w:r>
    </w:p>
    <w:p>
      <w:pPr>
        <w:pStyle w:val="ListParagraph"/>
        <w:numPr>
          <w:ilvl w:val="0"/>
          <w:numId w:val="2"/>
        </w:numPr>
        <w:spacing w:after="100" w:line="280"/>
      </w:pPr>
      <w:r>
        <w:rPr>
          <w:rFonts w:ascii="Calibri" w:cs="Calibri" w:eastAsia="Calibri" w:hAnsi="Calibri"/>
          <w:color w:val="1A1A1A"/>
          <w:sz w:val="21"/>
          <w:szCs w:val="21"/>
        </w:rPr>
        <w:t xml:space="preserve">Een tabel met vijf lege rijen (de projecten) voor de gezamenlijke reconstructie van Sanne's inconsistentie-oefening (paragraaf 12.5) op flipover of digitaal whiteboard.</w:t>
      </w:r>
    </w:p>
    <w:p>
      <w:pPr>
        <w:pStyle w:val="Heading2"/>
        <w:spacing w:after="160" w:before="360"/>
      </w:pPr>
      <w:r>
        <w:rPr>
          <w:rFonts w:ascii="Calibri" w:cs="Calibri" w:eastAsia="Calibri" w:hAnsi="Calibri"/>
          <w:b/>
          <w:bCs/>
          <w:color w:val="2C5AA0"/>
          <w:sz w:val="26"/>
          <w:szCs w:val="26"/>
        </w:rPr>
        <w:t xml:space="preserve">Aansluiting op deel 13</w:t>
      </w:r>
    </w:p>
    <w:p>
      <w:pPr>
        <w:spacing w:after="180" w:line="300"/>
        <w:jc w:val="both"/>
      </w:pPr>
      <w:r>
        <w:rPr>
          <w:rFonts w:ascii="Calibri" w:cs="Calibri" w:eastAsia="Calibri" w:hAnsi="Calibri"/>
          <w:color w:val="1A1A1A"/>
          <w:sz w:val="21"/>
          <w:szCs w:val="21"/>
        </w:rPr>
        <w:t xml:space="preserve">Sluit af met: de risicobereidheid staat nu vast, en de vijf projecttoleranties zijn geharmoniseerd. De volgende vraag is welke risico's zichtbaar worden zodra je niet één project maar het geheel bekijkt — risico's die in de ruimte tússen de projecten ontstaan, en die geen van de vijf identificatiesessies uit niveau 1 apart zou hebben gevonden. Dat is deel 13: identificatie op programmaschaal.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2026-08-16T12:46:27.414Z</dcterms:created>
  <dcterms:modified xsi:type="dcterms:W3CDTF">2026-08-16T12:46:27.415Z</dcterms:modified>
</cp:coreProperties>
</file>

<file path=docProps/custom.xml><?xml version="1.0" encoding="utf-8"?>
<Properties xmlns="http://schemas.openxmlformats.org/officeDocument/2006/custom-properties" xmlns:vt="http://schemas.openxmlformats.org/officeDocument/2006/docPropsVTypes"/>
</file>