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12 — Risicobereidheid, -capaciteit en toleranties</w:t>
      </w:r>
    </w:p>
    <w:p>
      <w:pPr>
        <w:spacing w:before="600"/>
        <w:jc w:val="center"/>
      </w:pPr>
      <w:r>
        <w:rPr>
          <w:rFonts w:ascii="Calibri" w:cs="Calibri" w:eastAsia="Calibri" w:hAnsi="Calibri"/>
          <w:b/>
          <w:bCs/>
          <w:color w:val="1B2A4A"/>
          <w:sz w:val="24"/>
          <w:szCs w:val="24"/>
        </w:rPr>
        <w:t xml:space="preserve">Niveau 2 — Professional</w:t>
      </w:r>
    </w:p>
    <w:p>
      <w:pPr>
        <w:spacing w:before="200"/>
        <w:jc w:val="center"/>
      </w:pPr>
      <w:r>
        <w:rPr>
          <w:rFonts w:ascii="Calibri" w:cs="Calibri" w:eastAsia="Calibri" w:hAnsi="Calibri"/>
          <w:i/>
          <w:iCs/>
          <w:color w:val="D99A3D"/>
          <w:sz w:val="24"/>
          <w:szCs w:val="24"/>
        </w:rPr>
        <w:t xml:space="preserve">Werkboek</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12 — Werkboek</w:t>
      </w:r>
    </w:p>
    <w:p>
      <w:pPr>
        <w:spacing w:after="180" w:line="300"/>
        <w:jc w:val="both"/>
      </w:pPr>
      <w:r>
        <w:rPr>
          <w:rFonts w:ascii="Calibri" w:cs="Calibri" w:eastAsia="Calibri" w:hAnsi="Calibri"/>
          <w:i/>
          <w:iCs/>
          <w:color w:val="1A1A1A"/>
          <w:sz w:val="21"/>
          <w:szCs w:val="21"/>
        </w:rPr>
        <w:t xml:space="preserve">Werk de opdrachten uit vóórdat je de uitwerking leest.</w:t>
      </w:r>
    </w:p>
    <w:p>
      <w:pPr>
        <w:pStyle w:val="Heading2"/>
        <w:spacing w:after="160" w:before="360"/>
      </w:pPr>
      <w:r>
        <w:rPr>
          <w:rFonts w:ascii="Calibri" w:cs="Calibri" w:eastAsia="Calibri" w:hAnsi="Calibri"/>
          <w:b/>
          <w:bCs/>
          <w:color w:val="2C5AA0"/>
          <w:sz w:val="26"/>
          <w:szCs w:val="26"/>
        </w:rPr>
        <w:t xml:space="preserve">Opdracht 12.1 — Drie begrippen sorteren</w:t>
      </w:r>
    </w:p>
    <w:p>
      <w:pPr>
        <w:spacing w:after="180" w:line="300"/>
        <w:jc w:val="both"/>
      </w:pPr>
      <w:r>
        <w:rPr>
          <w:rFonts w:ascii="Calibri" w:cs="Calibri" w:eastAsia="Calibri" w:hAnsi="Calibri"/>
          <w:color w:val="1A1A1A"/>
          <w:sz w:val="21"/>
          <w:szCs w:val="21"/>
        </w:rPr>
        <w:t xml:space="preserve">Voor elke uitspraak: is dit risicocapaciteit, risicobereidheid, of risicotolerantie?</w:t>
      </w:r>
    </w:p>
    <w:p>
      <w:pPr>
        <w:spacing w:after="180" w:line="300"/>
        <w:jc w:val="both"/>
      </w:pPr>
      <w:r>
        <w:rPr>
          <w:rFonts w:ascii="Calibri" w:cs="Calibri" w:eastAsia="Calibri" w:hAnsi="Calibri"/>
          <w:color w:val="1A1A1A"/>
          <w:sz w:val="21"/>
          <w:szCs w:val="21"/>
        </w:rPr>
        <w:t xml:space="preserve">a) “Meridiaan kan, gegeven haar solvabiliteitspositie, maximaal €50 miljoen aan onvoorziene verplichtingen dragen zonder in de gevarenzone te komen.”</w:t>
      </w:r>
    </w:p>
    <w:p>
      <w:pPr>
        <w:spacing w:after="180" w:line="300"/>
        <w:jc w:val="both"/>
      </w:pPr>
      <w:r>
        <w:rPr>
          <w:rFonts w:ascii="Calibri" w:cs="Calibri" w:eastAsia="Calibri" w:hAnsi="Calibri"/>
          <w:color w:val="1A1A1A"/>
          <w:sz w:val="21"/>
          <w:szCs w:val="21"/>
        </w:rPr>
        <w:t xml:space="preserve">b) “Wij zijn terughoudend met risico's die de relatie met werkgevers kunnen schaden.”</w:t>
      </w:r>
    </w:p>
    <w:p>
      <w:pPr>
        <w:spacing w:after="180" w:line="300"/>
        <w:jc w:val="both"/>
      </w:pPr>
      <w:r>
        <w:rPr>
          <w:rFonts w:ascii="Calibri" w:cs="Calibri" w:eastAsia="Calibri" w:hAnsi="Calibri"/>
          <w:color w:val="1A1A1A"/>
          <w:sz w:val="21"/>
          <w:szCs w:val="21"/>
        </w:rPr>
        <w:t xml:space="preserve">c) “Tot twee weken vertraging op Project 2: geen escalatie. Meer: melden aan de Sponsoring Group.”</w:t>
      </w:r>
    </w:p>
    <w:p>
      <w:pPr>
        <w:spacing w:after="180" w:line="300"/>
        <w:jc w:val="both"/>
      </w:pPr>
      <w:r>
        <w:rPr>
          <w:rFonts w:ascii="Calibri" w:cs="Calibri" w:eastAsia="Calibri" w:hAnsi="Calibri"/>
          <w:color w:val="1A1A1A"/>
          <w:sz w:val="21"/>
          <w:szCs w:val="21"/>
        </w:rPr>
        <w:t xml:space="preserve">d) “Wij accepteren geen enkel risico dat de juistheid van deelnemersgegevens in gevaar brengt.”</w:t>
      </w:r>
    </w:p>
    <w:p>
      <w:pPr>
        <w:spacing w:after="180" w:line="300"/>
        <w:jc w:val="both"/>
      </w:pPr>
      <w:r>
        <w:rPr>
          <w:rFonts w:ascii="Calibri" w:cs="Calibri" w:eastAsia="Calibri" w:hAnsi="Calibri"/>
          <w:color w:val="1A1A1A"/>
          <w:sz w:val="21"/>
          <w:szCs w:val="21"/>
        </w:rPr>
        <w:t xml:space="preserve">e) “Elke afwijking in de opschoning van historische deelnemersdata bij Project 5 wordt gemeld, ongeacht omvang.”</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a) Risicocapaciteit. Een objectief, berekend maximum, geen keuze.
b) Risicobereidheid. Een bestuurlijke, kwalitatieve uitspraak zonder concreet getal.
c) Risicotolerantie. Een concrete, meetbare bandbreedte voor een specifiek project.
d) Risicobereidheid. Kwalitatief, maar wel scherp geformuleerd — vergelijk met e om het verschil met een tolerantie te zien.
e) Risicotolerantie, en wel de operationele vertaling van d specifiek voor Project 5.
Discussiepunt bij d en e: dit paar laat precies zien hoe de vertaalslag uit Kernzin 7 werkt — dezelfde bereidheid (d), vertaald naar een concrete, projectspecifieke tolerantie (e).</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12.2 — Vertaal de bereidheid</w:t>
      </w:r>
    </w:p>
    <w:p>
      <w:pPr>
        <w:spacing w:after="180" w:line="300"/>
        <w:jc w:val="both"/>
      </w:pPr>
      <w:r>
        <w:rPr>
          <w:rFonts w:ascii="Calibri" w:cs="Calibri" w:eastAsia="Calibri" w:hAnsi="Calibri"/>
          <w:color w:val="1A1A1A"/>
          <w:sz w:val="21"/>
          <w:szCs w:val="21"/>
        </w:rPr>
        <w:t xml:space="preserve">Neem regel 4 uit Sanne's risicobereidheid-verklaring: “Wij zijn terughoudend met risico's die de relatie met werkgevers als klant kunnen schaden, ook als de financiële impact daarvan beperkt is.” Vertaal deze regel naar een concrete tolerantie voor twee van de vijf projecten naar keuze (bijvoorbeeld Werkgeversportaal en Deelnemerscommunicatie).</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Geen vast antwoord — toepassingsopdracht. Voorbeeld ter kalibratie:
Werkgeversportaal: ‘Elke storing die werkgevers verhindert een mutatie in te dienen gedurende meer dan vier uur tijdens kantooruren wordt gemeld aan de Sponsoring Group, ongeacht de onderliggende technische oorzaak of de financiële impact.’
Deelnemerscommunicatie: ‘Elke communicatie-uiting die naar een verkeerde groep werkgevers of deelnemers wordt verzonden (adresseringsfout) wordt gemeld, ongeacht het aantal getroffen personen.’
Wat je hier moet meenemen: beide toleranties zijn kwalitatief streng (lage of geen drempel), passend bij een bereidheid die uitdrukkelijk ‘terughoudend’ is — ook al is de financiële impact van een enkele storing of adresseringsfout beperkt. Dit illustreert dat een tolerantie niet altijd in geld hoeft te worden uitgedrukt.</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12.3 — Programma strenger of ruimer?</w:t>
      </w:r>
    </w:p>
    <w:p>
      <w:pPr>
        <w:spacing w:after="180" w:line="300"/>
        <w:jc w:val="both"/>
      </w:pPr>
      <w:r>
        <w:rPr>
          <w:rFonts w:ascii="Calibri" w:cs="Calibri" w:eastAsia="Calibri" w:hAnsi="Calibri"/>
          <w:color w:val="1A1A1A"/>
          <w:sz w:val="21"/>
          <w:szCs w:val="21"/>
        </w:rPr>
        <w:t xml:space="preserve">Voor elk van de volgende situaties: is de programma-risicobereidheid hier strenger of ruimer dan wat het individuele project op zichzelf zou kiezen? Onderbouw met een verwijzing naar paragraaf 12.3.</w:t>
      </w:r>
    </w:p>
    <w:p>
      <w:pPr>
        <w:spacing w:after="180" w:line="300"/>
        <w:jc w:val="both"/>
      </w:pPr>
      <w:r>
        <w:rPr>
          <w:rFonts w:ascii="Calibri" w:cs="Calibri" w:eastAsia="Calibri" w:hAnsi="Calibri"/>
          <w:color w:val="1A1A1A"/>
          <w:sz w:val="21"/>
          <w:szCs w:val="21"/>
        </w:rPr>
        <w:t xml:space="preserve">a) Project 2 zou zelf een vertraging van zes weken acceptabel vinden; het programma staat slechts vier weken toe.</w:t>
      </w:r>
    </w:p>
    <w:p>
      <w:pPr>
        <w:spacing w:after="180" w:line="300"/>
        <w:jc w:val="both"/>
      </w:pPr>
      <w:r>
        <w:rPr>
          <w:rFonts w:ascii="Calibri" w:cs="Calibri" w:eastAsia="Calibri" w:hAnsi="Calibri"/>
          <w:color w:val="1A1A1A"/>
          <w:sz w:val="21"/>
          <w:szCs w:val="21"/>
        </w:rPr>
        <w:t xml:space="preserve">b) Project 5 zou zelf liever meer tijd nemen voor grondige historische opschoning; het programma accepteert enige onvolkomenheid in historische data, zolang nieuwe mutaties correct zijn.</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a) Strenger. Omdat Project 2 op het kritieke pad van het programmadoel ligt, veroorzaakt vertraging bij dit project een cascade-effect op andere projecten en daarmee op de doorlooptijdhalvering zelf — een risico dat voor het project alleen aanvaardbaar lijkt, is dat op programmaniveau niet.
b) Ruimer. Het programma accepteert hier meer risico dan het project zelf zou kiezen, omdat de Sponsoring Group een andere, programmabrede afweging maakt (voortgang boven perfectie in historische data, zolang de kern — nieuwe mutaties — klopt).
Wat je hier moet meenemen: er is geen vaste regel dat ‘programma altijd strenger’ of ‘programma altijd ruimer’ is dan de som van de projecten. Het hangt af van hoe het project zich verhoudt tot het programmadoel — kritiek pad versus randvoorwaarde.</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12.4 — Vind de inconsistentie</w:t>
      </w:r>
    </w:p>
    <w:p>
      <w:pPr>
        <w:spacing w:after="180" w:line="300"/>
        <w:jc w:val="both"/>
      </w:pPr>
      <w:r>
        <w:rPr>
          <w:rFonts w:ascii="Calibri" w:cs="Calibri" w:eastAsia="Calibri" w:hAnsi="Calibri"/>
          <w:color w:val="1A1A1A"/>
          <w:sz w:val="21"/>
          <w:szCs w:val="21"/>
        </w:rPr>
        <w:t xml:space="preserve">Twee projecten binnen hetzelfde programma hanteren de volgende toleranties voor ‘meerkosten’:</w:t>
      </w:r>
    </w:p>
    <w:p>
      <w:pPr>
        <w:spacing w:after="180" w:line="300"/>
        <w:jc w:val="both"/>
      </w:pPr>
      <w:r>
        <w:rPr>
          <w:rFonts w:ascii="Calibri" w:cs="Calibri" w:eastAsia="Calibri" w:hAnsi="Calibri"/>
          <w:color w:val="1A1A1A"/>
          <w:sz w:val="21"/>
          <w:szCs w:val="21"/>
        </w:rPr>
        <w:t xml:space="preserve">Project A: ‘Tot €30.000 meerkosten: geen escalatie’ (alleen directe projectkosten meegerekend)</w:t>
      </w:r>
    </w:p>
    <w:p>
      <w:pPr>
        <w:spacing w:after="180" w:line="300"/>
        <w:jc w:val="both"/>
      </w:pPr>
      <w:r>
        <w:rPr>
          <w:rFonts w:ascii="Calibri" w:cs="Calibri" w:eastAsia="Calibri" w:hAnsi="Calibri"/>
          <w:color w:val="1A1A1A"/>
          <w:sz w:val="21"/>
          <w:szCs w:val="21"/>
        </w:rPr>
        <w:t xml:space="preserve">Project B: ‘Tot €30.000 meerkosten: geen escalatie’ (directe én indirecte kosten, zoals tijdelijke inhuur, meegerekend)</w:t>
      </w:r>
    </w:p>
    <w:p>
      <w:pPr>
        <w:spacing w:after="180" w:line="300"/>
        <w:jc w:val="both"/>
      </w:pPr>
      <w:r>
        <w:rPr>
          <w:rFonts w:ascii="Calibri" w:cs="Calibri" w:eastAsia="Calibri" w:hAnsi="Calibri"/>
          <w:color w:val="1A1A1A"/>
          <w:sz w:val="21"/>
          <w:szCs w:val="21"/>
        </w:rPr>
        <w:t xml:space="preserve">Leg uit waarom deze twee toleranties, ondanks het identieke bedrag, niet vergelijkbaar zijn — en wat het risico is als de programma-risicomanager ze toch bij elkaar optelt voor een programmabrede rapportage.</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De twee toleranties meten feitelijk iets anders, ondanks het identieke bedrag: Project B's tolerantie dekt een breder kostenbegrip, dus in de praktijk staat Project B eigenlijk minder toe dan Project A bij een gelijk bedrag (want indirecte kosten lopen bij Project B sneller op tegen dezelfde grens). Als de programma-risicomanager de twee grenzen zonder correctie bij elkaar optelt of vergelijkt in een rapportage (‘beide projecten binnen tolerantie’), ontstaat een schijnvergelijking — precies het probleem dat in deel 11 werd genoemd als eis voor niveau 2: schalen en criteria moeten over projecten heen vergelijkbaar en optelbaar zijn, en dat vereist een gedeelde definitie, niet alleen een gedeeld getal.
Wat je hier moet meenemen: dit is exact de eerste inconsistentie die Sanne in paragraaf 12.5 bij Project 1 en Project 4 vond. Het probleem is structureel, niet incidenteel — het duikt bijna altijd op zodra je losstaande projecttoleranties voor het eerst naast elkaar legt.</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Zelftoets deel 12</w:t>
      </w:r>
    </w:p>
    <w:p>
      <w:pPr>
        <w:pStyle w:val="ListParagraph"/>
        <w:numPr>
          <w:ilvl w:val="0"/>
          <w:numId w:val="2"/>
        </w:numPr>
        <w:spacing w:after="100" w:line="280"/>
      </w:pPr>
      <w:r>
        <w:rPr>
          <w:rFonts w:ascii="Calibri" w:cs="Calibri" w:eastAsia="Calibri" w:hAnsi="Calibri"/>
          <w:color w:val="1A1A1A"/>
          <w:sz w:val="21"/>
          <w:szCs w:val="21"/>
        </w:rPr>
        <w:t xml:space="preserve">1. Definieer risicobereidheid, risicocapaciteit en risicotolerantie, elk in één zin.</w:t>
      </w:r>
    </w:p>
    <w:p>
      <w:pPr>
        <w:pStyle w:val="ListParagraph"/>
        <w:numPr>
          <w:ilvl w:val="0"/>
          <w:numId w:val="2"/>
        </w:numPr>
        <w:spacing w:after="100" w:line="280"/>
      </w:pPr>
      <w:r>
        <w:rPr>
          <w:rFonts w:ascii="Calibri" w:cs="Calibri" w:eastAsia="Calibri" w:hAnsi="Calibri"/>
          <w:color w:val="1A1A1A"/>
          <w:sz w:val="21"/>
          <w:szCs w:val="21"/>
        </w:rPr>
        <w:t xml:space="preserve">2. Wat is de hiërarchische verhouding tussen de drie?</w:t>
      </w:r>
    </w:p>
    <w:p>
      <w:pPr>
        <w:pStyle w:val="ListParagraph"/>
        <w:numPr>
          <w:ilvl w:val="0"/>
          <w:numId w:val="2"/>
        </w:numPr>
        <w:spacing w:after="100" w:line="280"/>
      </w:pPr>
      <w:r>
        <w:rPr>
          <w:rFonts w:ascii="Calibri" w:cs="Calibri" w:eastAsia="Calibri" w:hAnsi="Calibri"/>
          <w:color w:val="1A1A1A"/>
          <w:sz w:val="21"/>
          <w:szCs w:val="21"/>
        </w:rPr>
        <w:t xml:space="preserve">3. Wat is kernzin 7?</w:t>
      </w:r>
    </w:p>
    <w:p>
      <w:pPr>
        <w:pStyle w:val="ListParagraph"/>
        <w:numPr>
          <w:ilvl w:val="0"/>
          <w:numId w:val="2"/>
        </w:numPr>
        <w:spacing w:after="100" w:line="280"/>
      </w:pPr>
      <w:r>
        <w:rPr>
          <w:rFonts w:ascii="Calibri" w:cs="Calibri" w:eastAsia="Calibri" w:hAnsi="Calibri"/>
          <w:color w:val="1A1A1A"/>
          <w:sz w:val="21"/>
          <w:szCs w:val="21"/>
        </w:rPr>
        <w:t xml:space="preserve">4. Kan een programma een andere risicobereidheid hebben dan de optelsom van zijn projecten? Geef een voorbeeld van zowel ‘strenger’ als ‘ruimer’.</w:t>
      </w:r>
    </w:p>
    <w:p>
      <w:pPr>
        <w:pStyle w:val="ListParagraph"/>
        <w:numPr>
          <w:ilvl w:val="0"/>
          <w:numId w:val="2"/>
        </w:numPr>
        <w:spacing w:after="100" w:line="280"/>
      </w:pPr>
      <w:r>
        <w:rPr>
          <w:rFonts w:ascii="Calibri" w:cs="Calibri" w:eastAsia="Calibri" w:hAnsi="Calibri"/>
          <w:color w:val="1A1A1A"/>
          <w:sz w:val="21"/>
          <w:szCs w:val="21"/>
        </w:rPr>
        <w:t xml:space="preserve">5. Waarom heeft een programma meestal geen eigen, aparte risicocapaciteit?</w:t>
      </w:r>
    </w:p>
    <w:p>
      <w:pPr>
        <w:pStyle w:val="ListParagraph"/>
        <w:numPr>
          <w:ilvl w:val="0"/>
          <w:numId w:val="2"/>
        </w:numPr>
        <w:spacing w:after="100" w:line="280"/>
      </w:pPr>
      <w:r>
        <w:rPr>
          <w:rFonts w:ascii="Calibri" w:cs="Calibri" w:eastAsia="Calibri" w:hAnsi="Calibri"/>
          <w:color w:val="1A1A1A"/>
          <w:sz w:val="21"/>
          <w:szCs w:val="21"/>
        </w:rPr>
        <w:t xml:space="preserve">6. Noem de drie inconsistenties die Sanne vond toen ze de vijf projecttoleranties naast elkaar legde.</w:t>
      </w:r>
    </w:p>
    <w:p>
      <w:pPr>
        <w:pStyle w:val="ListParagraph"/>
        <w:numPr>
          <w:ilvl w:val="0"/>
          <w:numId w:val="2"/>
        </w:numPr>
        <w:spacing w:after="100" w:line="280"/>
      </w:pPr>
      <w:r>
        <w:rPr>
          <w:rFonts w:ascii="Calibri" w:cs="Calibri" w:eastAsia="Calibri" w:hAnsi="Calibri"/>
          <w:color w:val="1A1A1A"/>
          <w:sz w:val="21"/>
          <w:szCs w:val="21"/>
        </w:rPr>
        <w:t xml:space="preserve">7. Wat is het risico van het bij elkaar optellen van toleranties die verschillende definities hanteren?</w:t>
      </w:r>
    </w:p>
    <w:p>
      <w:pPr>
        <w:pStyle w:val="Heading2"/>
        <w:spacing w:after="160" w:before="360"/>
      </w:pPr>
      <w:r>
        <w:rPr>
          <w:rFonts w:ascii="Calibri" w:cs="Calibri" w:eastAsia="Calibri" w:hAnsi="Calibri"/>
          <w:b/>
          <w:bCs/>
          <w:color w:val="2C5AA0"/>
          <w:sz w:val="26"/>
          <w:szCs w:val="26"/>
        </w:rPr>
        <w:t xml:space="preserve">Antwoorden zelftoets</w:t>
      </w:r>
    </w:p>
    <w:p>
      <w:pPr>
        <w:spacing w:after="180" w:line="300"/>
        <w:jc w:val="both"/>
      </w:pPr>
      <w:r>
        <w:rPr>
          <w:rFonts w:ascii="Calibri" w:cs="Calibri" w:eastAsia="Calibri" w:hAnsi="Calibri"/>
          <w:color w:val="1A1A1A"/>
          <w:sz w:val="21"/>
          <w:szCs w:val="21"/>
        </w:rPr>
        <w:t xml:space="preserve">1. Risicobereidheid: een bestuurlijke, kwalitatieve uitspraak over hoeveel en welk risico een organisatie bereid is te accepteren. Risicocapaciteit: het objectieve maximum dat een organisatie kan dragen zonder haar voortbestaan in gevaar te brengen. Risicotolerantie: de operationele, meetbare bandbreedte per doelstelling waarbinnen afwijking geen escalatie vereist.</w:t>
      </w:r>
    </w:p>
    <w:p>
      <w:pPr>
        <w:spacing w:after="180" w:line="300"/>
        <w:jc w:val="both"/>
      </w:pPr>
      <w:r>
        <w:rPr>
          <w:rFonts w:ascii="Calibri" w:cs="Calibri" w:eastAsia="Calibri" w:hAnsi="Calibri"/>
          <w:color w:val="1A1A1A"/>
          <w:sz w:val="21"/>
          <w:szCs w:val="21"/>
        </w:rPr>
        <w:t xml:space="preserve">2. Risicocapaciteit is het buitenste, harde plafond; risicobereidheid is een bewuste keuze daarbinnen; toleranties zijn de operationele vertaling van die bereidheid.</w:t>
      </w:r>
    </w:p>
    <w:p>
      <w:pPr>
        <w:spacing w:after="180" w:line="300"/>
        <w:jc w:val="both"/>
      </w:pPr>
      <w:r>
        <w:rPr>
          <w:rFonts w:ascii="Calibri" w:cs="Calibri" w:eastAsia="Calibri" w:hAnsi="Calibri"/>
          <w:color w:val="1A1A1A"/>
          <w:sz w:val="21"/>
          <w:szCs w:val="21"/>
        </w:rPr>
        <w:t xml:space="preserve">3. Risicobereidheid zonder vertaling naar tolerantie is een mooie zin op een poster — ze verandert niets aan wat iemand morgen beslist.</w:t>
      </w:r>
    </w:p>
    <w:p>
      <w:pPr>
        <w:spacing w:after="180" w:line="300"/>
        <w:jc w:val="both"/>
      </w:pPr>
      <w:r>
        <w:rPr>
          <w:rFonts w:ascii="Calibri" w:cs="Calibri" w:eastAsia="Calibri" w:hAnsi="Calibri"/>
          <w:color w:val="1A1A1A"/>
          <w:sz w:val="21"/>
          <w:szCs w:val="21"/>
        </w:rPr>
        <w:t xml:space="preserve">4. Ja. Strenger: Project 2's tolerantie van zes weken wordt teruggebracht tot vier weken omdat het op het kritieke pad van het programmadoel ligt. Ruimer: het programma accepteert meer onvolkomenheid in historische data bij Project 5 dan het project zelf zou kiezen, omdat de Sponsoring Group voortgang boven perfectie stelt zolang nieuwe mutaties correct zijn.</w:t>
      </w:r>
    </w:p>
    <w:p>
      <w:pPr>
        <w:spacing w:after="180" w:line="300"/>
        <w:jc w:val="both"/>
      </w:pPr>
      <w:r>
        <w:rPr>
          <w:rFonts w:ascii="Calibri" w:cs="Calibri" w:eastAsia="Calibri" w:hAnsi="Calibri"/>
          <w:color w:val="1A1A1A"/>
          <w:sz w:val="21"/>
          <w:szCs w:val="21"/>
        </w:rPr>
        <w:t xml:space="preserve">5. Omdat risicocapaciteit meestal wordt bepaald door factoren op organisatieniveau (solvabiliteit, wettelijke buffers, reputatie), die niet per programma opnieuw worden vastgesteld.</w:t>
      </w:r>
    </w:p>
    <w:p>
      <w:pPr>
        <w:spacing w:after="180" w:line="300"/>
        <w:jc w:val="both"/>
      </w:pPr>
      <w:r>
        <w:rPr>
          <w:rFonts w:ascii="Calibri" w:cs="Calibri" w:eastAsia="Calibri" w:hAnsi="Calibri"/>
          <w:color w:val="1A1A1A"/>
          <w:sz w:val="21"/>
          <w:szCs w:val="21"/>
        </w:rPr>
        <w:t xml:space="preserve">6. Verschillende definities van ‘meerkosten’ tussen Project 1 en Project 4; Project 5 had helemaal geen tolerantie voor datakwaliteit vastgesteld; Project 2's eigen tolerantie voor vertraging was ruimer dan de programmabereidheid toestond.</w:t>
      </w:r>
    </w:p>
    <w:p>
      <w:pPr>
        <w:spacing w:after="180" w:line="300"/>
        <w:jc w:val="both"/>
      </w:pPr>
      <w:r>
        <w:rPr>
          <w:rFonts w:ascii="Calibri" w:cs="Calibri" w:eastAsia="Calibri" w:hAnsi="Calibri"/>
          <w:color w:val="1A1A1A"/>
          <w:sz w:val="21"/>
          <w:szCs w:val="21"/>
        </w:rPr>
        <w:t xml:space="preserve">7. Het levert een schijnvergelijking op: hetzelfde bedrag of dezelfde term kan feitelijk iets anders meten, waardoor optellen of vergelijken zonder correctie tot een misleidend beeld leidt.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2026-08-16T12:46:27.247Z</dcterms:created>
  <dcterms:modified xsi:type="dcterms:W3CDTF">2026-08-16T12:46:27.248Z</dcterms:modified>
</cp:coreProperties>
</file>

<file path=docProps/custom.xml><?xml version="1.0" encoding="utf-8"?>
<Properties xmlns="http://schemas.openxmlformats.org/officeDocument/2006/custom-properties" xmlns:vt="http://schemas.openxmlformats.org/officeDocument/2006/docPropsVTypes"/>
</file>