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13 — Identificatie op programmaschaal</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13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herhaalt niet de identificatietechnieken uit deel 4 (niveau 1) — het bouwt er nadrukkelijk op voort door te laten zien wat die technieken, hoe goed ook toegepast, structureel missen zodra de schaal verandert. Zorg dat deelnemers dit onderscheid vroeg meekrijgen: dit is geen ‘deel 4 nog een keer, maar groter’, het is een fundamenteel andere blik.</w:t>
      </w:r>
    </w:p>
    <w:p>
      <w:pPr>
        <w:spacing w:after="180" w:line="300"/>
        <w:jc w:val="both"/>
      </w:pPr>
      <w:r>
        <w:rPr>
          <w:rFonts w:ascii="Calibri" w:cs="Calibri" w:eastAsia="Calibri" w:hAnsi="Calibri"/>
          <w:color w:val="1A1A1A"/>
          <w:sz w:val="21"/>
          <w:szCs w:val="21"/>
        </w:rPr>
        <w:t xml:space="preserve">De kern van het dagdeel is ervaringsgericht: de afhankelijkhedenmatrix en de cross-project workshop werken het best als deelnemers ze zelf, met hun eigen (of het Mutatieplatform-)materiaal, doorlopen en zelf de verrassing ervaren van een risico dat pas zichtbaar wordt bij het naast elkaar leggen van perspectieven.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uitleggen waarom projectgebonden identificatietechnieken structureel bepaalde risico's missen op programmaschaal;</w:t>
      </w:r>
    </w:p>
    <w:p>
      <w:pPr>
        <w:pStyle w:val="ListParagraph"/>
        <w:numPr>
          <w:ilvl w:val="0"/>
          <w:numId w:val="2"/>
        </w:numPr>
        <w:spacing w:after="100" w:line="280"/>
      </w:pPr>
      <w:r>
        <w:rPr>
          <w:rFonts w:ascii="Calibri" w:cs="Calibri" w:eastAsia="Calibri" w:hAnsi="Calibri"/>
          <w:color w:val="1A1A1A"/>
          <w:sz w:val="21"/>
          <w:szCs w:val="21"/>
        </w:rPr>
        <w:t xml:space="preserve">de zes categorieën van de programmarisico-taxonomie toepassen op een gegeven risico;</w:t>
      </w:r>
    </w:p>
    <w:p>
      <w:pPr>
        <w:pStyle w:val="ListParagraph"/>
        <w:numPr>
          <w:ilvl w:val="0"/>
          <w:numId w:val="2"/>
        </w:numPr>
        <w:spacing w:after="100" w:line="280"/>
      </w:pPr>
      <w:r>
        <w:rPr>
          <w:rFonts w:ascii="Calibri" w:cs="Calibri" w:eastAsia="Calibri" w:hAnsi="Calibri"/>
          <w:color w:val="1A1A1A"/>
          <w:sz w:val="21"/>
          <w:szCs w:val="21"/>
        </w:rPr>
        <w:t xml:space="preserve">een afhankelijkhedenmatrix opstellen en gebruiken als identificatie-instrument;</w:t>
      </w:r>
    </w:p>
    <w:p>
      <w:pPr>
        <w:pStyle w:val="ListParagraph"/>
        <w:numPr>
          <w:ilvl w:val="0"/>
          <w:numId w:val="2"/>
        </w:numPr>
        <w:spacing w:after="100" w:line="280"/>
      </w:pPr>
      <w:r>
        <w:rPr>
          <w:rFonts w:ascii="Calibri" w:cs="Calibri" w:eastAsia="Calibri" w:hAnsi="Calibri"/>
          <w:color w:val="1A1A1A"/>
          <w:sz w:val="21"/>
          <w:szCs w:val="21"/>
        </w:rPr>
        <w:t xml:space="preserve">een programmabrede pre-mortem faciliteren en het verschil met de projectvariant beargumenteren;</w:t>
      </w:r>
    </w:p>
    <w:p>
      <w:pPr>
        <w:pStyle w:val="ListParagraph"/>
        <w:numPr>
          <w:ilvl w:val="0"/>
          <w:numId w:val="2"/>
        </w:numPr>
        <w:spacing w:after="100" w:line="280"/>
      </w:pPr>
      <w:r>
        <w:rPr>
          <w:rFonts w:ascii="Calibri" w:cs="Calibri" w:eastAsia="Calibri" w:hAnsi="Calibri"/>
          <w:color w:val="1A1A1A"/>
          <w:sz w:val="21"/>
          <w:szCs w:val="21"/>
        </w:rPr>
        <w:t xml:space="preserve">het eigenaarschapsvraagstuk van een programmarisico herkennen als een openstaande vraag die om een aparte oplossing vraagt.</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12, de API-datum-kwestie als opening</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Waarom projectgebonden identificatie tekortschiet, Kernzin 8</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0:35–1:00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programmarisico-taxonomie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9–11</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1:00–1:15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1:15–1:35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13.1</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1:35–2:10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afhankelijkhedenmatrix, opdracht 13.2</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12–14, in groepjes van drie</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2:10–2:25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2:25–2:55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Cross-project workshop en programmabrede pre-mortem, opdracht 13.3</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15–18, plenair op het Mutatieplatform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2:55–3:15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acht gevonden risico's, het eigenaarsvraagstuk</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19–21</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3:15–3:30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14</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22–23</w:t>
            </w:r>
          </w:p>
        </w:tc>
      </w:tr>
    </w:tbl>
    <w:p>
      <w:pPr>
        <w:spacing w:after="180" w:line="300"/>
        <w:jc w:val="both"/>
      </w:pPr>
      <w:r>
        <w:rPr>
          <w:rFonts w:ascii="Calibri" w:cs="Calibri" w:eastAsia="Calibri" w:hAnsi="Calibri"/>
          <w:color w:val="1A1A1A"/>
          <w:sz w:val="21"/>
          <w:szCs w:val="21"/>
        </w:rPr>
        <w:t xml:space="preserve">Huiswerk voor deel 14: geen nieuwe formele opdracht; vraag deelnemers een eigen afhankelijkhedenmatrix (opdracht 13.2, als nog niet gedaan) af te ronden — dit materiaal is nuttige input voor latere delen, met name deel 17 (geaggregeerd risico).</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taxonomie als vervanging van de projectcategorieën presenteren. Het is een aanvulling, geen vervanging — beide lagen bestaan naast elkaar. Wees hier expliciet over, anders ontstaat verwarring over welke categorielijst wanneer te gebruiken.</w:t>
      </w:r>
    </w:p>
    <w:p>
      <w:pPr>
        <w:pStyle w:val="ListParagraph"/>
        <w:numPr>
          <w:ilvl w:val="0"/>
          <w:numId w:val="2"/>
        </w:numPr>
        <w:spacing w:after="100" w:line="280"/>
      </w:pPr>
      <w:r>
        <w:rPr>
          <w:rFonts w:ascii="Calibri" w:cs="Calibri" w:eastAsia="Calibri" w:hAnsi="Calibri"/>
          <w:color w:val="1A1A1A"/>
          <w:sz w:val="21"/>
          <w:szCs w:val="21"/>
        </w:rPr>
        <w:t xml:space="preserve">De afhankelijkhedenmatrix als eenmalige exercitie laten voelen. Net als het register uit niveau 1 (deel 7) is dit een levend instrument — afhankelijkheden veranderen naarmate het programma vordert. Benoem dit expliciet, ook al wordt de onderhoudscyclus pas in latere delen concreet uitgewerkt.</w:t>
      </w:r>
    </w:p>
    <w:p>
      <w:pPr>
        <w:pStyle w:val="ListParagraph"/>
        <w:numPr>
          <w:ilvl w:val="0"/>
          <w:numId w:val="2"/>
        </w:numPr>
        <w:spacing w:after="100" w:line="280"/>
      </w:pPr>
      <w:r>
        <w:rPr>
          <w:rFonts w:ascii="Calibri" w:cs="Calibri" w:eastAsia="Calibri" w:hAnsi="Calibri"/>
          <w:color w:val="1A1A1A"/>
          <w:sz w:val="21"/>
          <w:szCs w:val="21"/>
        </w:rPr>
        <w:t xml:space="preserve">Het eigenaarsvraagstuk aan het eind te snel ‘oplossen’ met een voorlopig antwoord. Laat de vraag bewust open aan het eind van dit dagdeel — de spanning die dat oproept, is precies wat deel 17 straks motiveert om te bespreken. Een te snel, te gemakkelijk antwoord (‘dan is Sanne toch gewoon eigenaar van alles’) ondermijnt zowel het eerste-lijns-principe uit deel 9 (niveau 1) als de aankondiging van deel 17.</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die zelf in een multi-projectomgeving werken.</w:t>
      </w:r>
      <w:r>
        <w:rPr>
          <w:rFonts w:ascii="Calibri" w:cs="Calibri" w:eastAsia="Calibri" w:hAnsi="Calibri"/>
          <w:color w:val="1A1A1A"/>
          <w:sz w:val="21"/>
          <w:szCs w:val="21"/>
        </w:rPr>
        <w:t xml:space="preserve"> Herkennen de API-datum-kwestie en vergelijkbare situaties vaak onmiddellijk uit eigen ervaring. Vraag hen naar een eigen voorbeeld bij de opening van het dagdeel.</w:t>
      </w:r>
    </w:p>
    <w:p>
      <w:pPr>
        <w:spacing w:after="180" w:line="300"/>
        <w:jc w:val="both"/>
      </w:pPr>
      <w:r>
        <w:rPr>
          <w:rFonts w:ascii="Calibri" w:cs="Calibri" w:eastAsia="Calibri" w:hAnsi="Calibri"/>
          <w:b/>
          <w:bCs/>
          <w:color w:val="1B2A4A"/>
          <w:sz w:val="21"/>
          <w:szCs w:val="21"/>
        </w:rPr>
        <w:t xml:space="preserve">Deelnemers met een sterk projectmatige, weinig programmatische achtergrond.</w:t>
      </w:r>
      <w:r>
        <w:rPr>
          <w:rFonts w:ascii="Calibri" w:cs="Calibri" w:eastAsia="Calibri" w:hAnsi="Calibri"/>
          <w:color w:val="1A1A1A"/>
          <w:sz w:val="21"/>
          <w:szCs w:val="21"/>
        </w:rPr>
        <w:t xml:space="preserve"> Kunnen in eerste instantie moeite hebben zich een risico voor te stellen dat aan geen enkel specifiek project toebehoort. Gebruik de matrix-oefening (opdracht 13.2) om dit concreet en tastbaar te maken.</w:t>
      </w:r>
    </w:p>
    <w:p>
      <w:pPr>
        <w:spacing w:after="180" w:line="300"/>
        <w:jc w:val="both"/>
      </w:pPr>
      <w:r>
        <w:rPr>
          <w:rFonts w:ascii="Calibri" w:cs="Calibri" w:eastAsia="Calibri" w:hAnsi="Calibri"/>
          <w:b/>
          <w:bCs/>
          <w:color w:val="1B2A4A"/>
          <w:sz w:val="21"/>
          <w:szCs w:val="21"/>
        </w:rPr>
        <w:t xml:space="preserve">Deelnemers met ervaring in inkoop of leveranciersmanagement.</w:t>
      </w:r>
      <w:r>
        <w:rPr>
          <w:rFonts w:ascii="Calibri" w:cs="Calibri" w:eastAsia="Calibri" w:hAnsi="Calibri"/>
          <w:color w:val="1A1A1A"/>
          <w:sz w:val="21"/>
          <w:szCs w:val="21"/>
        </w:rPr>
        <w:t xml:space="preserve"> Herkennen het gedeelde-leveranciersrisico snel en kunnen waardevolle aanvullende voorbeelden inbrengen bij de bespreking van de taxonomie.</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Ken je, uit eigen ervaring, een risico dat pas zichtbaar werd toen twee teams of projecten voor het eerst hun aannames naast elkaar legden? Wat had dat eerder kunnen voorkomen?</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structurele plek (bijvoorbeeld een vast overleg) waar afhankelijkheden tussen initiatieven periodiek worden getoetst, of gebeurt dat alleen incidenteel?</w:t>
      </w:r>
    </w:p>
    <w:p>
      <w:pPr>
        <w:pStyle w:val="ListParagraph"/>
        <w:numPr>
          <w:ilvl w:val="0"/>
          <w:numId w:val="2"/>
        </w:numPr>
        <w:spacing w:after="100" w:line="280"/>
      </w:pPr>
      <w:r>
        <w:rPr>
          <w:rFonts w:ascii="Calibri" w:cs="Calibri" w:eastAsia="Calibri" w:hAnsi="Calibri"/>
          <w:color w:val="1A1A1A"/>
          <w:sz w:val="21"/>
          <w:szCs w:val="21"/>
        </w:rPr>
        <w:t xml:space="preserve">Wie zou in jouw organisatie eigenaar moeten zijn van een risico dat precies tussen twee afdelingen of projecten in valt?</w:t>
      </w:r>
    </w:p>
    <w:p>
      <w:pPr>
        <w:pStyle w:val="Heading2"/>
        <w:spacing w:after="160" w:before="360"/>
      </w:pPr>
      <w:r>
        <w:rPr>
          <w:rFonts w:ascii="Calibri" w:cs="Calibri" w:eastAsia="Calibri" w:hAnsi="Calibri"/>
          <w:b/>
          <w:bCs/>
          <w:color w:val="2C5AA0"/>
          <w:sz w:val="26"/>
          <w:szCs w:val="26"/>
        </w:rPr>
        <w:t xml:space="preserve">Antwoordmodel voor de moeilijkste bespreking (opdracht 13.1, onderdeel d)</w:t>
      </w:r>
    </w:p>
    <w:p>
      <w:pPr>
        <w:spacing w:after="180" w:line="300"/>
        <w:jc w:val="both"/>
      </w:pPr>
      <w:r>
        <w:rPr>
          <w:rFonts w:ascii="Calibri" w:cs="Calibri" w:eastAsia="Calibri" w:hAnsi="Calibri"/>
          <w:color w:val="1A1A1A"/>
          <w:sz w:val="21"/>
          <w:szCs w:val="21"/>
        </w:rPr>
        <w:t xml:space="preserve">Deelnemers classificeren ‘een individuele ontwikkelaar wordt ziek’ bijna altijd meteen als zuiver projectrisico, en dat is in de meeste gevallen ook correct. Gebruik dit als leermoment voor nuance: vraag door met is deze ontwikkelaar toevallig de enige die de specificatie kent die een ander project nodig heeft? Als het antwoord ja is, verschuift het risico van zuiver projectintern naar een afhankelijkheidsrisico — niet omdat de gebeurtenis anders is, maar omdat het gevolg de grens van het project overschrijdt. Dit illustreert dat de taxonomie geen mechanische classificatie is, maar een set vragen die je bij elk risico opnieuw moet stellen, ook bij risico's die op het eerste gezicht overduidelijk ‘gewoon projectintern’ lijken.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Een lege 5×5-afhankelijkhedenmatrix (voor het Mutatieplatform) als uitdeelblad of digitaal sjabloon.</w:t>
      </w:r>
    </w:p>
    <w:p>
      <w:pPr>
        <w:pStyle w:val="ListParagraph"/>
        <w:numPr>
          <w:ilvl w:val="0"/>
          <w:numId w:val="2"/>
        </w:numPr>
        <w:spacing w:after="100" w:line="280"/>
      </w:pPr>
      <w:r>
        <w:rPr>
          <w:rFonts w:ascii="Calibri" w:cs="Calibri" w:eastAsia="Calibri" w:hAnsi="Calibri"/>
          <w:color w:val="1A1A1A"/>
          <w:sz w:val="21"/>
          <w:szCs w:val="21"/>
        </w:rPr>
        <w:t xml:space="preserve">Rolkaartjes met de vijf projecten voor de cross-project workshop-simulatie, zodat elke deelnemer tijdens de oefening één project vertegenwoordigt.</w:t>
      </w:r>
    </w:p>
    <w:p>
      <w:pPr>
        <w:pStyle w:val="ListParagraph"/>
        <w:numPr>
          <w:ilvl w:val="0"/>
          <w:numId w:val="2"/>
        </w:numPr>
        <w:spacing w:after="100" w:line="280"/>
      </w:pPr>
      <w:r>
        <w:rPr>
          <w:rFonts w:ascii="Calibri" w:cs="Calibri" w:eastAsia="Calibri" w:hAnsi="Calibri"/>
          <w:color w:val="1A1A1A"/>
          <w:sz w:val="21"/>
          <w:szCs w:val="21"/>
        </w:rPr>
        <w:t xml:space="preserve">De zes taxonomiecategorieën als los overzicht, blijvend zichtbaar tijdens het dagdeel.</w:t>
      </w:r>
    </w:p>
    <w:p>
      <w:pPr>
        <w:pStyle w:val="Heading2"/>
        <w:spacing w:after="160" w:before="360"/>
      </w:pPr>
      <w:r>
        <w:rPr>
          <w:rFonts w:ascii="Calibri" w:cs="Calibri" w:eastAsia="Calibri" w:hAnsi="Calibri"/>
          <w:b/>
          <w:bCs/>
          <w:color w:val="2C5AA0"/>
          <w:sz w:val="26"/>
          <w:szCs w:val="26"/>
        </w:rPr>
        <w:t xml:space="preserve">Aansluiting op deel 14</w:t>
      </w:r>
    </w:p>
    <w:p>
      <w:pPr>
        <w:spacing w:after="180" w:line="300"/>
        <w:jc w:val="both"/>
      </w:pPr>
      <w:r>
        <w:rPr>
          <w:rFonts w:ascii="Calibri" w:cs="Calibri" w:eastAsia="Calibri" w:hAnsi="Calibri"/>
          <w:color w:val="1A1A1A"/>
          <w:sz w:val="21"/>
          <w:szCs w:val="21"/>
        </w:rPr>
        <w:t xml:space="preserve">Sluit af met: sommige van de acht nieuw gevonden risico's — met name de sequencing-vraag tussen Project 3 en Project 5, en de vraag of het gedeelde leveranciersrisico daadwerkelijk tot capaciteitsproblemen leidt — zijn moeilijk met de brede banden uit niveau 1 (laag/midden/hoog) goed te wegen. Deel 14 introduceert het eerste kwantitatieve instrumentarium van deze cursus: verwachtingswaarden, beslisbomen en drie-puntsschattingen, precies voor dit soort beslissingen.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2026-08-16T23:27:46.079Z</dcterms:created>
  <dcterms:modified xsi:type="dcterms:W3CDTF">2026-08-16T23:27:46.080Z</dcterms:modified>
</cp:coreProperties>
</file>

<file path=docProps/custom.xml><?xml version="1.0" encoding="utf-8"?>
<Properties xmlns="http://schemas.openxmlformats.org/officeDocument/2006/custom-properties" xmlns:vt="http://schemas.openxmlformats.org/officeDocument/2006/docPropsVTypes"/>
</file>