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13 — Identificatie op programmaschaal</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13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13.1 — Projectrisico of programmarisico?</w:t>
      </w:r>
    </w:p>
    <w:p>
      <w:pPr>
        <w:spacing w:after="180" w:line="300"/>
        <w:jc w:val="both"/>
      </w:pPr>
      <w:r>
        <w:rPr>
          <w:rFonts w:ascii="Calibri" w:cs="Calibri" w:eastAsia="Calibri" w:hAnsi="Calibri"/>
          <w:color w:val="1A1A1A"/>
          <w:sz w:val="21"/>
          <w:szCs w:val="21"/>
        </w:rPr>
        <w:t xml:space="preserve">Voor elk van de volgende risico's: hoort dit thuis in het register van één specifiek project, of is het een programmarisico volgens de taxonomie uit paragraaf 13.2? Zo programmarisico, welke categorie?</w:t>
      </w:r>
    </w:p>
    <w:p>
      <w:pPr>
        <w:spacing w:after="180" w:line="300"/>
        <w:jc w:val="both"/>
      </w:pPr>
      <w:r>
        <w:rPr>
          <w:rFonts w:ascii="Calibri" w:cs="Calibri" w:eastAsia="Calibri" w:hAnsi="Calibri"/>
          <w:color w:val="1A1A1A"/>
          <w:sz w:val="21"/>
          <w:szCs w:val="21"/>
        </w:rPr>
        <w:t xml:space="preserve">a) “De testomgeving van Project 2 is niet op tijd beschikbaar door interne capaciteitsproblemen binnen dat ene project.”</w:t>
      </w:r>
    </w:p>
    <w:p>
      <w:pPr>
        <w:spacing w:after="180" w:line="300"/>
        <w:jc w:val="both"/>
      </w:pPr>
      <w:r>
        <w:rPr>
          <w:rFonts w:ascii="Calibri" w:cs="Calibri" w:eastAsia="Calibri" w:hAnsi="Calibri"/>
          <w:color w:val="1A1A1A"/>
          <w:sz w:val="21"/>
          <w:szCs w:val="21"/>
        </w:rPr>
        <w:t xml:space="preserve">b) “Project 1 en Project 4 gebruiken beide dezelfde externe partij voor klantcommunicatie, die aangeeft niet genoeg capaciteit te hebben voor beide tegelijk.”</w:t>
      </w:r>
    </w:p>
    <w:p>
      <w:pPr>
        <w:spacing w:after="180" w:line="300"/>
        <w:jc w:val="both"/>
      </w:pPr>
      <w:r>
        <w:rPr>
          <w:rFonts w:ascii="Calibri" w:cs="Calibri" w:eastAsia="Calibri" w:hAnsi="Calibri"/>
          <w:color w:val="1A1A1A"/>
          <w:sz w:val="21"/>
          <w:szCs w:val="21"/>
        </w:rPr>
        <w:t xml:space="preserve">c) “Project 3 gaat ervan uit dat Project 5 de historische data heeft opgeschoond vóórdat de conversie start, maar dit is nooit gezamenlijk vastgesteld.”</w:t>
      </w:r>
    </w:p>
    <w:p>
      <w:pPr>
        <w:spacing w:after="180" w:line="300"/>
        <w:jc w:val="both"/>
      </w:pPr>
      <w:r>
        <w:rPr>
          <w:rFonts w:ascii="Calibri" w:cs="Calibri" w:eastAsia="Calibri" w:hAnsi="Calibri"/>
          <w:color w:val="1A1A1A"/>
          <w:sz w:val="21"/>
          <w:szCs w:val="21"/>
        </w:rPr>
        <w:t xml:space="preserve">d) “Een individuele ontwikkelaar bij Project 1 raakt ziek.”</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Projectrisico. Puur intern aan één project, geen raakvlak met een ander project.
b) Programmarisico — gedeelde leveranciers. Twee projecten claimen dezelfde externe capaciteit.
c) Programmarisico — gedeelde aannames / afhankelijkheid. Een sequencing-aanname die nooit gezamenlijk is getoetst, exact zoals in paragraaf 13.4.
d) Projectrisico, tenzij deze ene ontwikkelaar een cruciale rol speelt in een afhankelijkheid richting een ander project — vraag door of dat het geval is voordat je definitief classificeert.
Wat je hier moet meenemen: d laat zien dat de grens niet altijd op het eerste gezicht duidelijk is — een schijnbaar projectintern risico kan alsnog een programmadimensie hebben als het raakt aan een afhankelijkheid. De taxonomie is een hulpmiddel om te toetsen, geen automatische classificatie.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13.2 — Bouw een afhankelijkhedenmatrix</w:t>
      </w:r>
    </w:p>
    <w:p>
      <w:pPr>
        <w:spacing w:after="180" w:line="300"/>
        <w:jc w:val="both"/>
      </w:pPr>
      <w:r>
        <w:rPr>
          <w:rFonts w:ascii="Calibri" w:cs="Calibri" w:eastAsia="Calibri" w:hAnsi="Calibri"/>
          <w:color w:val="1A1A1A"/>
          <w:sz w:val="21"/>
          <w:szCs w:val="21"/>
        </w:rPr>
        <w:t xml:space="preserve">Voor een (fictief of eigen) programma met drie deelprojecten: bouw een matrix van 3×3 en vul voor elk paar in of er een afhankelijkheid bestaat, in welke richting, en van welke aard (data, specificatie, capaciteit, planning). Formuleer voor minstens één ingevulde cel een volledige risicozin.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Controleer bij nakijken: is de richting van de afhankelijkheid duidelijk (wie levert aan wie, niet alleen ‘er is een relatie’)? Is de aard van de afhankelijkheid concreet benoemd (niet alleen ‘ze werken samen’)? Voldoet de geformuleerde risicozin aan de vier zelfcontrolevragen uit deel 1 (niveau 1): vaststaande oorzaak, onzekere gebeurtenis, gevolg gekoppeld aan een doelstelling?
Veelgemaakte fout: een matrixcel invullen met ‘ja, er is een afhankelijkheid’ zonder richting of aard — dat is net zo'n onvolledige categorie als de zelfstandige naamwoorden uit het oude WGP 2.0-register (deel 1, niveau 1). Een afhankelijkheid zonder richting is geen bruikbare identificatie.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13.3 — De programmabrede pre-mortem</w:t>
      </w:r>
    </w:p>
    <w:p>
      <w:pPr>
        <w:spacing w:after="180" w:line="300"/>
        <w:jc w:val="both"/>
      </w:pPr>
      <w:r>
        <w:rPr>
          <w:rFonts w:ascii="Calibri" w:cs="Calibri" w:eastAsia="Calibri" w:hAnsi="Calibri"/>
          <w:color w:val="1A1A1A"/>
          <w:sz w:val="21"/>
          <w:szCs w:val="21"/>
        </w:rPr>
        <w:t xml:space="preserve">Voer, individueel of in een klein groepje, de programmabrede pre-mortem uit paragraaf 13.3 uit voor het Mutatieplatform: ‘stel je voor dat alle vijf projecten op zichzelf zijn geslaagd, en het programmadoel (doorlooptijdhalvering) is tóch niet gehaald. Wat is er gebeurd?’ Formuleer twee scenario's.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creatieve toepassingsopdracht. Twee voorbeeldscenario's ter kalibratie:
Scenario A: Elk project leverde technisch op tijd op, maar de vijf opleveringen waren niet onderling getest als geheel — de integratie tussen Werkgeversportaal en Verwerkingsengine bleek in de praktijk trager dan verwacht, waardoor de doorlooptijdwinst van de afzonderlijke onderdelen grotendeels verloren ging in de overdracht ertussen.
Scenario B: Elk project hield zich aan zijn eigen tolerantie voor kwaliteit, maar niemand bewaakte of de gecombineerde foutmarge van vijf onderdelen samen nog steeds binnen de programmabereidheid viel (zie deel 12) — kleine, individueel aanvaardbare afwijkingen stapelden zich op tot een probleem op programmaniveau.
Wat je hier moet meenemen: beide scenario's hebben één ding gemeen — geen van de vijf projecten ‘faalde’ in de klassieke zin. Dat is precies het punt van deze techniek: ze dwingt je voorbij individueel projectfalen te denken, naar falen dat alleen op het niveau van het geheel zichtbaar wordt.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13</w:t>
      </w:r>
    </w:p>
    <w:p>
      <w:pPr>
        <w:pStyle w:val="ListParagraph"/>
        <w:numPr>
          <w:ilvl w:val="0"/>
          <w:numId w:val="2"/>
        </w:numPr>
        <w:spacing w:after="100" w:line="280"/>
      </w:pPr>
      <w:r>
        <w:rPr>
          <w:rFonts w:ascii="Calibri" w:cs="Calibri" w:eastAsia="Calibri" w:hAnsi="Calibri"/>
          <w:color w:val="1A1A1A"/>
          <w:sz w:val="21"/>
          <w:szCs w:val="21"/>
        </w:rPr>
        <w:t xml:space="preserve">1. Wat is kernzin 8?</w:t>
      </w:r>
    </w:p>
    <w:p>
      <w:pPr>
        <w:pStyle w:val="ListParagraph"/>
        <w:numPr>
          <w:ilvl w:val="0"/>
          <w:numId w:val="2"/>
        </w:numPr>
        <w:spacing w:after="100" w:line="280"/>
      </w:pPr>
      <w:r>
        <w:rPr>
          <w:rFonts w:ascii="Calibri" w:cs="Calibri" w:eastAsia="Calibri" w:hAnsi="Calibri"/>
          <w:color w:val="1A1A1A"/>
          <w:sz w:val="21"/>
          <w:szCs w:val="21"/>
        </w:rPr>
        <w:t xml:space="preserve">2. Waarom missen de vijf projectgebonden identificatiesessies structureel bepaalde risico's, ook als elke sessie op zichzelf goed is uitgevoerd?</w:t>
      </w:r>
    </w:p>
    <w:p>
      <w:pPr>
        <w:pStyle w:val="ListParagraph"/>
        <w:numPr>
          <w:ilvl w:val="0"/>
          <w:numId w:val="2"/>
        </w:numPr>
        <w:spacing w:after="100" w:line="280"/>
      </w:pPr>
      <w:r>
        <w:rPr>
          <w:rFonts w:ascii="Calibri" w:cs="Calibri" w:eastAsia="Calibri" w:hAnsi="Calibri"/>
          <w:color w:val="1A1A1A"/>
          <w:sz w:val="21"/>
          <w:szCs w:val="21"/>
        </w:rPr>
        <w:t xml:space="preserve">3. Noem de zes categorieën van de programmarisico-taxonomie.</w:t>
      </w:r>
    </w:p>
    <w:p>
      <w:pPr>
        <w:pStyle w:val="ListParagraph"/>
        <w:numPr>
          <w:ilvl w:val="0"/>
          <w:numId w:val="2"/>
        </w:numPr>
        <w:spacing w:after="100" w:line="280"/>
      </w:pPr>
      <w:r>
        <w:rPr>
          <w:rFonts w:ascii="Calibri" w:cs="Calibri" w:eastAsia="Calibri" w:hAnsi="Calibri"/>
          <w:color w:val="1A1A1A"/>
          <w:sz w:val="21"/>
          <w:szCs w:val="21"/>
        </w:rPr>
        <w:t xml:space="preserve">4. Noem de vijf technieken voor identificatie op programmaschaal.</w:t>
      </w:r>
    </w:p>
    <w:p>
      <w:pPr>
        <w:pStyle w:val="ListParagraph"/>
        <w:numPr>
          <w:ilvl w:val="0"/>
          <w:numId w:val="2"/>
        </w:numPr>
        <w:spacing w:after="100" w:line="280"/>
      </w:pPr>
      <w:r>
        <w:rPr>
          <w:rFonts w:ascii="Calibri" w:cs="Calibri" w:eastAsia="Calibri" w:hAnsi="Calibri"/>
          <w:color w:val="1A1A1A"/>
          <w:sz w:val="21"/>
          <w:szCs w:val="21"/>
        </w:rPr>
        <w:t xml:space="preserve">5. Wat maakt de programmabrede pre-mortem anders dan de gewone pre-mortem uit deel 4 (niveau 1)?</w:t>
      </w:r>
    </w:p>
    <w:p>
      <w:pPr>
        <w:pStyle w:val="ListParagraph"/>
        <w:numPr>
          <w:ilvl w:val="0"/>
          <w:numId w:val="2"/>
        </w:numPr>
        <w:spacing w:after="100" w:line="280"/>
      </w:pPr>
      <w:r>
        <w:rPr>
          <w:rFonts w:ascii="Calibri" w:cs="Calibri" w:eastAsia="Calibri" w:hAnsi="Calibri"/>
          <w:color w:val="1A1A1A"/>
          <w:sz w:val="21"/>
          <w:szCs w:val="21"/>
        </w:rPr>
        <w:t xml:space="preserve">6. Welke drie risico's vond Sanne's cross-project workshop, en tot welke categorie uit de taxonomie hoort elk?</w:t>
      </w:r>
    </w:p>
    <w:p>
      <w:pPr>
        <w:pStyle w:val="ListParagraph"/>
        <w:numPr>
          <w:ilvl w:val="0"/>
          <w:numId w:val="2"/>
        </w:numPr>
        <w:spacing w:after="100" w:line="280"/>
      </w:pPr>
      <w:r>
        <w:rPr>
          <w:rFonts w:ascii="Calibri" w:cs="Calibri" w:eastAsia="Calibri" w:hAnsi="Calibri"/>
          <w:color w:val="1A1A1A"/>
          <w:sz w:val="21"/>
          <w:szCs w:val="21"/>
        </w:rPr>
        <w:t xml:space="preserve">7. Waarom is de eigenaarsvraag lastiger bij een programmarisico dan bij een projectrisico?</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Op programmaschaal zit het gevaarlijkste risico zelden ín een project — het zit in de naad ertussen, waar niemand zich uit zichzelf verantwoordelijk voelt.</w:t>
      </w:r>
    </w:p>
    <w:p>
      <w:pPr>
        <w:spacing w:after="180" w:line="300"/>
        <w:jc w:val="both"/>
      </w:pPr>
      <w:r>
        <w:rPr>
          <w:rFonts w:ascii="Calibri" w:cs="Calibri" w:eastAsia="Calibri" w:hAnsi="Calibri"/>
          <w:color w:val="1A1A1A"/>
          <w:sz w:val="21"/>
          <w:szCs w:val="21"/>
        </w:rPr>
        <w:t xml:space="preserve">2. Omdat elke sessie per ontwerp begrensd is tot de context en criteria van één project; een risico dat tussen twee projecten ontstaat, valt buiten beide begrenzingen tegelijk.</w:t>
      </w:r>
    </w:p>
    <w:p>
      <w:pPr>
        <w:spacing w:after="180" w:line="300"/>
        <w:jc w:val="both"/>
      </w:pPr>
      <w:r>
        <w:rPr>
          <w:rFonts w:ascii="Calibri" w:cs="Calibri" w:eastAsia="Calibri" w:hAnsi="Calibri"/>
          <w:color w:val="1A1A1A"/>
          <w:sz w:val="21"/>
          <w:szCs w:val="21"/>
        </w:rPr>
        <w:t xml:space="preserve">3. Afhankelijkheden, gedeelde middelen, gedeelde leveranciers, integratiepunten, gedeelde aannames, governance en besluitvorming.</w:t>
      </w:r>
    </w:p>
    <w:p>
      <w:pPr>
        <w:spacing w:after="180" w:line="300"/>
        <w:jc w:val="both"/>
      </w:pPr>
      <w:r>
        <w:rPr>
          <w:rFonts w:ascii="Calibri" w:cs="Calibri" w:eastAsia="Calibri" w:hAnsi="Calibri"/>
          <w:color w:val="1A1A1A"/>
          <w:sz w:val="21"/>
          <w:szCs w:val="21"/>
        </w:rPr>
        <w:t xml:space="preserve">4. De afhankelijkhedenmatrix, de cross-project workshop, de programmabrede pre-mortem, horizon scanning, aannametoetsing over projectgrenzen heen.</w:t>
      </w:r>
    </w:p>
    <w:p>
      <w:pPr>
        <w:spacing w:after="180" w:line="300"/>
        <w:jc w:val="both"/>
      </w:pPr>
      <w:r>
        <w:rPr>
          <w:rFonts w:ascii="Calibri" w:cs="Calibri" w:eastAsia="Calibri" w:hAnsi="Calibri"/>
          <w:color w:val="1A1A1A"/>
          <w:sz w:val="21"/>
          <w:szCs w:val="21"/>
        </w:rPr>
        <w:t xml:space="preserve">5. De gewone pre-mortem stelt zich een mislukt project voor; de programmabrede variant stelt zich voor dat elk project op zichzelf is geslaagd en het programmadoel tóch niet is gehaald — dat dwingt tot denken voorbij individueel projectfalen.</w:t>
      </w:r>
    </w:p>
    <w:p>
      <w:pPr>
        <w:spacing w:after="180" w:line="300"/>
        <w:jc w:val="both"/>
      </w:pPr>
      <w:r>
        <w:rPr>
          <w:rFonts w:ascii="Calibri" w:cs="Calibri" w:eastAsia="Calibri" w:hAnsi="Calibri"/>
          <w:color w:val="1A1A1A"/>
          <w:sz w:val="21"/>
          <w:szCs w:val="21"/>
        </w:rPr>
        <w:t xml:space="preserve">6. De API-datum-kwestie tussen Project 1 en Project 2 (gedeelde aannames); het sequencing-risico tussen Project 3 en Project 5 (afhankelijkheden); het gedeelde leveranciersrisico tussen Project 1 en Project 4 (gedeelde leveranciers).</w:t>
      </w:r>
    </w:p>
    <w:p>
      <w:pPr>
        <w:spacing w:after="180" w:line="300"/>
        <w:jc w:val="both"/>
      </w:pPr>
      <w:r>
        <w:rPr>
          <w:rFonts w:ascii="Calibri" w:cs="Calibri" w:eastAsia="Calibri" w:hAnsi="Calibri"/>
          <w:color w:val="1A1A1A"/>
          <w:sz w:val="21"/>
          <w:szCs w:val="21"/>
        </w:rPr>
        <w:t xml:space="preserve">7. Omdat een programmarisico zelden aan één project toebehoort — het kan onduidelijk zijn of Project 1, Project 2, of de programma-risicomanager zelf de eigenaar zou moeten zijn, iets wat bij een projectrisico vanzelfsprekender 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2026-08-16T23:27:45.941Z</dcterms:created>
  <dcterms:modified xsi:type="dcterms:W3CDTF">2026-08-16T23:27:45.942Z</dcterms:modified>
</cp:coreProperties>
</file>

<file path=docProps/custom.xml><?xml version="1.0" encoding="utf-8"?>
<Properties xmlns="http://schemas.openxmlformats.org/officeDocument/2006/custom-properties" xmlns:vt="http://schemas.openxmlformats.org/officeDocument/2006/docPropsVTypes"/>
</file>