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14 — Kwantitatief I: verwachtingswaarde, beslisbomen, drie-puntsschattingen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14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het eerste deel van de hele cursus dat structureel rekent. Voor deelnemers zonder kwantitatieve achtergrond kan dit spannend aanvoelen; voor deelnemers mét zo'n achtergrond kan het juist te elementair lijken. Beide reacties zijn te managen door vanaf het begin duidelijk te maken dat de wiskunde zelf eenvoudig is (vermenigvuldigen en optellen) — de vaardigheid zit in wéten wanneer je dit toepast en hoe je de uitkomst interpreteert, niet in rekenvirtuositeit.</w:t>
      </w:r>
    </w:p>
    <w:p>
      <w:pPr>
        <w:spacing w:after="180" w:line="300"/>
        <w:jc w:val="both"/>
      </w:pPr>
      <w:r>
        <w:rPr>
          <w:rFonts w:ascii="Calibri" w:cs="Calibri" w:eastAsia="Calibri" w:hAnsi="Calibri"/>
          <w:color w:val="1A1A1A"/>
          <w:sz w:val="21"/>
          <w:szCs w:val="21"/>
        </w:rPr>
        <w:t xml:space="preserve">Bewaak vooral paragraaf 14.5 (wanneer kwantificeren niet zinvol is) — dit is inhoudelijk het belangrijkste onderdeel van het deel, ook al staat het aan het eind. Zonder dit tegenwicht bestaat het risico dat deelnemers na dit dagdeel overmatig gaan kwantificeren, precies de valkuil die Kernzin 9 wil voorkomen.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beoordelen of een gegeven risico of beslissing kwantitatieve analyse rechtvaardigt, aan de hand van de vier voorwaarden;</w:t>
      </w:r>
    </w:p>
    <w:p>
      <w:pPr>
        <w:pStyle w:val="ListParagraph"/>
        <w:numPr>
          <w:ilvl w:val="0"/>
          <w:numId w:val="2"/>
        </w:numPr>
        <w:spacing w:after="100" w:line="280"/>
      </w:pPr>
      <w:r>
        <w:rPr>
          <w:rFonts w:ascii="Calibri" w:cs="Calibri" w:eastAsia="Calibri" w:hAnsi="Calibri"/>
          <w:color w:val="1A1A1A"/>
          <w:sz w:val="21"/>
          <w:szCs w:val="21"/>
        </w:rPr>
        <w:t xml:space="preserve">een verwachtingswaarde (EMV) berekenen voor eenvoudige scenario's met twee of meer uitkomsten;</w:t>
      </w:r>
    </w:p>
    <w:p>
      <w:pPr>
        <w:pStyle w:val="ListParagraph"/>
        <w:numPr>
          <w:ilvl w:val="0"/>
          <w:numId w:val="2"/>
        </w:numPr>
        <w:spacing w:after="100" w:line="280"/>
      </w:pPr>
      <w:r>
        <w:rPr>
          <w:rFonts w:ascii="Calibri" w:cs="Calibri" w:eastAsia="Calibri" w:hAnsi="Calibri"/>
          <w:color w:val="1A1A1A"/>
          <w:sz w:val="21"/>
          <w:szCs w:val="21"/>
        </w:rPr>
        <w:t xml:space="preserve">een beslisboom met meerdere vertakkingen doorrekenen en interpreteren wat een extra vertakking aan de uitkomst toevoegt;</w:t>
      </w:r>
    </w:p>
    <w:p>
      <w:pPr>
        <w:pStyle w:val="ListParagraph"/>
        <w:numPr>
          <w:ilvl w:val="0"/>
          <w:numId w:val="2"/>
        </w:numPr>
        <w:spacing w:after="100" w:line="280"/>
      </w:pPr>
      <w:r>
        <w:rPr>
          <w:rFonts w:ascii="Calibri" w:cs="Calibri" w:eastAsia="Calibri" w:hAnsi="Calibri"/>
          <w:color w:val="1A1A1A"/>
          <w:sz w:val="21"/>
          <w:szCs w:val="21"/>
        </w:rPr>
        <w:t xml:space="preserve">een drie-puntsschatting met de PERT-formule berekenen en de betekenis van de spreiding tussen optimistisch en pessimistisch uitleggen;</w:t>
      </w:r>
    </w:p>
    <w:p>
      <w:pPr>
        <w:pStyle w:val="ListParagraph"/>
        <w:numPr>
          <w:ilvl w:val="0"/>
          <w:numId w:val="2"/>
        </w:numPr>
        <w:spacing w:after="100" w:line="280"/>
      </w:pPr>
      <w:r>
        <w:rPr>
          <w:rFonts w:ascii="Calibri" w:cs="Calibri" w:eastAsia="Calibri" w:hAnsi="Calibri"/>
          <w:color w:val="1A1A1A"/>
          <w:sz w:val="21"/>
          <w:szCs w:val="21"/>
        </w:rPr>
        <w:t xml:space="preserve">Kernzin 9 toepassen en de drie waarschuwingen tegen overmatig kwantificeren herkennen in een gegeven situatie.</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13, de sequencing-beslissing als opening</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Wanneer overstappen naar kwantitatief</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6–8, opdracht 14.1 plenair</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0:35–1:05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Verwachtingswaarde (EMV), uitgewerkt voorbeeld</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9–12</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1:05–1:20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1:20–1:45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14.2</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vergelijken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Beslisbomen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13–16, opdracht 14.3</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2:20–2:35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2:35–3:05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Drie-puntsschattingen en PERT</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17–20, opdracht 14.4 individueel</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3:05–3:25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Wanneer kwantificeren NIET zinvol is, Kernzin 9</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21–24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15</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25</w:t>
            </w:r>
          </w:p>
        </w:tc>
      </w:tr>
    </w:tbl>
    <w:p>
      <w:pPr>
        <w:spacing w:after="180" w:line="300"/>
        <w:jc w:val="both"/>
      </w:pPr>
      <w:r>
        <w:rPr>
          <w:rFonts w:ascii="Calibri" w:cs="Calibri" w:eastAsia="Calibri" w:hAnsi="Calibri"/>
          <w:color w:val="1A1A1A"/>
          <w:sz w:val="21"/>
          <w:szCs w:val="21"/>
        </w:rPr>
        <w:t xml:space="preserve">Huiswerk voor deel 15: geen formele opdracht; vraag deelnemers een eigen risico of beslissing uit hun praktijk te identificeren die aan de kwantificeer-voorwaarden voldoet — dit materiaal is bruikbaar als startpunt voor de Monte Carlo-oefening in deel 15.</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wiskunde laten overheersen boven de interpretatie. Besteed niet meer tijd aan het rekenen zelf dan nodig — de rekenkundige stappen zijn eenvoudig. De echte leeropbrengst zit in de interpretatievragen: wat betekent deze uitkomst, wat vertelt de spreiding, wanneer is dit instrument gepast?</w:t>
      </w:r>
    </w:p>
    <w:p>
      <w:pPr>
        <w:pStyle w:val="ListParagraph"/>
        <w:numPr>
          <w:ilvl w:val="0"/>
          <w:numId w:val="2"/>
        </w:numPr>
        <w:spacing w:after="100" w:line="280"/>
      </w:pPr>
      <w:r>
        <w:rPr>
          <w:rFonts w:ascii="Calibri" w:cs="Calibri" w:eastAsia="Calibri" w:hAnsi="Calibri"/>
          <w:color w:val="1A1A1A"/>
          <w:sz w:val="21"/>
          <w:szCs w:val="21"/>
        </w:rPr>
        <w:t xml:space="preserve">EMV presenteren als ‘het juiste antwoord’. Zoals opdracht 14.2 laat zien, kan een organisatie met een lage risicobereidheid bewust tegen de EMV-uitkomst in kiezen. Maak dit expliciet: EMV informeert de beslissing, het neemt de beslissing niet over.</w:t>
      </w:r>
    </w:p>
    <w:p>
      <w:pPr>
        <w:pStyle w:val="ListParagraph"/>
        <w:numPr>
          <w:ilvl w:val="0"/>
          <w:numId w:val="2"/>
        </w:numPr>
        <w:spacing w:after="100" w:line="280"/>
      </w:pPr>
      <w:r>
        <w:rPr>
          <w:rFonts w:ascii="Calibri" w:cs="Calibri" w:eastAsia="Calibri" w:hAnsi="Calibri"/>
          <w:color w:val="1A1A1A"/>
          <w:sz w:val="21"/>
          <w:szCs w:val="21"/>
        </w:rPr>
        <w:t xml:space="preserve">PERT te wiskundig introduceren, zonder de intuïtie erachter. Leg uit waaróm de formule vier keer M weegt: het is een gewogen gemiddelde dat de meest waarschijnlijke waarde het zwaarst laat wegen, terwijl de extremen (O en P) meetellen maar niet domineren. Deze intuïtie is belangrijker dan de formule zelf uit het hoofd kennen.</w:t>
      </w:r>
    </w:p>
    <w:p>
      <w:pPr>
        <w:pStyle w:val="ListParagraph"/>
        <w:numPr>
          <w:ilvl w:val="0"/>
          <w:numId w:val="2"/>
        </w:numPr>
        <w:spacing w:after="100" w:line="280"/>
      </w:pPr>
      <w:r>
        <w:rPr>
          <w:rFonts w:ascii="Calibri" w:cs="Calibri" w:eastAsia="Calibri" w:hAnsi="Calibri"/>
          <w:color w:val="1A1A1A"/>
          <w:sz w:val="21"/>
          <w:szCs w:val="21"/>
        </w:rPr>
        <w:t xml:space="preserve">Paragraaf 14.5 als ‘verplicht afsluitend praatje’ behandelen in plaats van als kernboodschap. Dit is het deel waar de cursus haar epistemische voorzichtigheid het scherpst toont — bewaak dat het niet wordt ingekort bij tijdsdruk, ook al staat het aan het eind van het dagdeel.</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met een financiële, actuariële of data-achtergrond.</w:t>
      </w:r>
      <w:r>
        <w:rPr>
          <w:rFonts w:ascii="Calibri" w:cs="Calibri" w:eastAsia="Calibri" w:hAnsi="Calibri"/>
          <w:color w:val="1A1A1A"/>
          <w:sz w:val="21"/>
          <w:szCs w:val="21"/>
        </w:rPr>
        <w:t xml:space="preserve"> Kennen EMV en PERT vaak al, mogelijk onder andere namen. Gebruik hun kennis om sneller door de rekenkundige stappen te gaan en meer tijd te besteden aan paragraaf 14.5 — juist deze groep kan de neiging hebben om te veel te vertrouwen op kwantitatieve uitkomsten, en heeft baat bij extra nadruk op de waarschuwingen.</w:t>
      </w:r>
    </w:p>
    <w:p>
      <w:pPr>
        <w:spacing w:after="180" w:line="300"/>
        <w:jc w:val="both"/>
      </w:pPr>
      <w:r>
        <w:rPr>
          <w:rFonts w:ascii="Calibri" w:cs="Calibri" w:eastAsia="Calibri" w:hAnsi="Calibri"/>
          <w:b/>
          <w:bCs/>
          <w:color w:val="1B2A4A"/>
          <w:sz w:val="21"/>
          <w:szCs w:val="21"/>
        </w:rPr>
        <w:t xml:space="preserve">Deelnemers zonder kwantitatieve achtergrond, of met rekenangst.</w:t>
      </w:r>
      <w:r>
        <w:rPr>
          <w:rFonts w:ascii="Calibri" w:cs="Calibri" w:eastAsia="Calibri" w:hAnsi="Calibri"/>
          <w:color w:val="1A1A1A"/>
          <w:sz w:val="21"/>
          <w:szCs w:val="21"/>
        </w:rPr>
        <w:t xml:space="preserve"> Bied gerustheid: benadruk dat de berekeningen in dit deel niet verder gaan dan vermenigvuldigen en optellen, en dat een rekenmachine of spreadsheet altijd beschikbaar mag zijn. De vaardigheid die telt is wanneer en hoe je dit toepast, niet handmatig rekenen.</w:t>
      </w:r>
    </w:p>
    <w:p>
      <w:pPr>
        <w:spacing w:after="180" w:line="300"/>
        <w:jc w:val="both"/>
      </w:pPr>
      <w:r>
        <w:rPr>
          <w:rFonts w:ascii="Calibri" w:cs="Calibri" w:eastAsia="Calibri" w:hAnsi="Calibri"/>
          <w:b/>
          <w:bCs/>
          <w:color w:val="1B2A4A"/>
          <w:sz w:val="21"/>
          <w:szCs w:val="21"/>
        </w:rPr>
        <w:t xml:space="preserve">Projectmanagers gewend aan single-point-schattingen.</w:t>
      </w:r>
      <w:r>
        <w:rPr>
          <w:rFonts w:ascii="Calibri" w:cs="Calibri" w:eastAsia="Calibri" w:hAnsi="Calibri"/>
          <w:color w:val="1A1A1A"/>
          <w:sz w:val="21"/>
          <w:szCs w:val="21"/>
        </w:rPr>
        <w:t xml:space="preserve"> Kunnen in eerste instantie weerstand voelen tegen drie-puntsschattingen (‘waarom niet gewoon één getal geven?’). Gebruik opdracht 14.4 om concreet te laten zien wat een single-point-schatting verbergt.</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Ken je een besluit in jouw organisatie dat baat zou hebben gehad bij een EMV-berekening, maar dat destijds puur op onderbuikgevoel is genomen?</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gewoonte om altijd één getal te geven bij een schatting (in plaats van een bandbreedte)? Wat zou er veranderen als drie-puntsschattingen de norm werden?</w:t>
      </w:r>
    </w:p>
    <w:p>
      <w:pPr>
        <w:pStyle w:val="ListParagraph"/>
        <w:numPr>
          <w:ilvl w:val="0"/>
          <w:numId w:val="2"/>
        </w:numPr>
        <w:spacing w:after="100" w:line="280"/>
      </w:pPr>
      <w:r>
        <w:rPr>
          <w:rFonts w:ascii="Calibri" w:cs="Calibri" w:eastAsia="Calibri" w:hAnsi="Calibri"/>
          <w:color w:val="1A1A1A"/>
          <w:sz w:val="21"/>
          <w:szCs w:val="21"/>
        </w:rPr>
        <w:t xml:space="preserve">Kun je een voorbeeld bedenken waarin een kwantitatieve uitkomst een gesprek ‘dichttimmerde’ dat eigenlijk open had moeten blijven voor kwalitatieve overwegingen?</w:t>
      </w:r>
    </w:p>
    <w:p>
      <w:pPr>
        <w:pStyle w:val="Heading2"/>
        <w:spacing w:after="160" w:before="360"/>
      </w:pPr>
      <w:r>
        <w:rPr>
          <w:rFonts w:ascii="Calibri" w:cs="Calibri" w:eastAsia="Calibri" w:hAnsi="Calibri"/>
          <w:b/>
          <w:bCs/>
          <w:color w:val="2C5AA0"/>
          <w:sz w:val="26"/>
          <w:szCs w:val="26"/>
        </w:rPr>
        <w:t xml:space="preserve">Antwoordmodel voor de moeilijkste bespreking (opdracht 14.2, EMV versus risicohouding)</w:t>
      </w:r>
    </w:p>
    <w:p>
      <w:pPr>
        <w:spacing w:after="180" w:line="300"/>
        <w:jc w:val="both"/>
      </w:pPr>
      <w:r>
        <w:rPr>
          <w:rFonts w:ascii="Calibri" w:cs="Calibri" w:eastAsia="Calibri" w:hAnsi="Calibri"/>
          <w:color w:val="1A1A1A"/>
          <w:sz w:val="21"/>
          <w:szCs w:val="21"/>
        </w:rPr>
        <w:t xml:space="preserve">Deelnemers concluderen bij opdracht 14.2 vaak automatisch dat de gunstigere EMV (de noodoplossing) ‘dus’ de juiste keuze is. Laat de groep dit zelf ontkrachten door te vragen: stel dat het programma een zeer lage risicobereidheid heeft voor budgetoverschrijdingen groter dan €400.000 — verandert dat de keuze, ook al blijft de EMV van ‘afwachten’ hetzelfde? Het antwoord is: ja, het kan de keuze veranderen, want EMV weegt de gemiddelde uitkomst over vele hypothetische herhalingen, terwijl een organisatie in de praktijk deze beslissing maar één keer neemt. Een lage risicobereidheid voor de ‘staart’ (het slechtste scenario, hier -€900.000 in opdracht 14.3) kan zwaarder wegen dan het gemiddelde. Dit is een vroege, informele introductie van het onderscheid tussen verwachte waarde en staartrisico, dat in niveau 3 (deel 26-27) volledig wordt uitgewerkt.</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Een rekenmachine of spreadsheet-sjabloon (eenvoudig, met kolommen voor kans en gevolg) beschikbaar voor elke deelnemer of tweetal.</w:t>
      </w:r>
    </w:p>
    <w:p>
      <w:pPr>
        <w:pStyle w:val="ListParagraph"/>
        <w:numPr>
          <w:ilvl w:val="0"/>
          <w:numId w:val="2"/>
        </w:numPr>
        <w:spacing w:after="100" w:line="280"/>
      </w:pPr>
      <w:r>
        <w:rPr>
          <w:rFonts w:ascii="Calibri" w:cs="Calibri" w:eastAsia="Calibri" w:hAnsi="Calibri"/>
          <w:color w:val="1A1A1A"/>
          <w:sz w:val="21"/>
          <w:szCs w:val="21"/>
        </w:rPr>
        <w:t xml:space="preserve">De beslisboom uit paragraaf 14.3 als groot, leesbaar diagram — op flipover getekend of digitaal getoond — voor gezamenlijke doorloop vóór de individuele opdracht.</w:t>
      </w:r>
    </w:p>
    <w:p>
      <w:pPr>
        <w:pStyle w:val="ListParagraph"/>
        <w:numPr>
          <w:ilvl w:val="0"/>
          <w:numId w:val="2"/>
        </w:numPr>
        <w:spacing w:after="100" w:line="280"/>
      </w:pPr>
      <w:r>
        <w:rPr>
          <w:rFonts w:ascii="Calibri" w:cs="Calibri" w:eastAsia="Calibri" w:hAnsi="Calibri"/>
          <w:color w:val="1A1A1A"/>
          <w:sz w:val="21"/>
          <w:szCs w:val="21"/>
        </w:rPr>
        <w:t xml:space="preserve">Optioneel: een eenvoudige PERT-rekentool (spreadsheet-formule) om opdracht 14.4 snel te kunnen verifiëren.</w:t>
      </w:r>
    </w:p>
    <w:p>
      <w:pPr>
        <w:pStyle w:val="Heading2"/>
        <w:spacing w:after="160" w:before="360"/>
      </w:pPr>
      <w:r>
        <w:rPr>
          <w:rFonts w:ascii="Calibri" w:cs="Calibri" w:eastAsia="Calibri" w:hAnsi="Calibri"/>
          <w:b/>
          <w:bCs/>
          <w:color w:val="2C5AA0"/>
          <w:sz w:val="26"/>
          <w:szCs w:val="26"/>
        </w:rPr>
        <w:t xml:space="preserve">Aansluiting op deel 15</w:t>
      </w:r>
    </w:p>
    <w:p>
      <w:pPr>
        <w:spacing w:after="180" w:line="300"/>
        <w:jc w:val="both"/>
      </w:pPr>
      <w:r>
        <w:rPr>
          <w:rFonts w:ascii="Calibri" w:cs="Calibri" w:eastAsia="Calibri" w:hAnsi="Calibri"/>
          <w:color w:val="1A1A1A"/>
          <w:sz w:val="21"/>
          <w:szCs w:val="21"/>
        </w:rPr>
        <w:t xml:space="preserve">Sluit af met: drie-puntsschattingen geven een verwachte waarde én een spreiding, maar ze behandelen elke schatting nog los. Deel 15 — twee dagdelen, hands-on met een echte simulatietool — laat zien wat er gebeurt als je honderden schattingen tegelijk combineert, inclusief hun onderlinge samenhang, en waarom dat een ander soort inzicht oplevert dan drie punten of een enkele beslisboom.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2026-08-16T23:36:15.508Z</dcterms:created>
  <dcterms:modified xsi:type="dcterms:W3CDTF">2026-08-16T23:36:15.509Z</dcterms:modified>
</cp:coreProperties>
</file>

<file path=docProps/custom.xml><?xml version="1.0" encoding="utf-8"?>
<Properties xmlns="http://schemas.openxmlformats.org/officeDocument/2006/custom-properties" xmlns:vt="http://schemas.openxmlformats.org/officeDocument/2006/docPropsVTypes"/>
</file>