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14 — Kwantitatief I: verwachtingswaarde, beslisbomen, drie-puntsschattingen</w:t>
      </w:r>
    </w:p>
    <w:p>
      <w:pPr>
        <w:spacing w:before="600"/>
        <w:jc w:val="center"/>
      </w:pPr>
      <w:r>
        <w:rPr>
          <w:rFonts w:ascii="Calibri" w:cs="Calibri" w:eastAsia="Calibri" w:hAnsi="Calibri"/>
          <w:b/>
          <w:bCs/>
          <w:color w:val="1B2A4A"/>
          <w:sz w:val="24"/>
          <w:szCs w:val="24"/>
        </w:rPr>
        <w:t xml:space="preserve">Niveau 2 — Professional</w:t>
      </w:r>
    </w:p>
    <w:p>
      <w:pPr>
        <w:spacing w:before="200"/>
        <w:jc w:val="center"/>
      </w:pPr>
      <w:r>
        <w:rPr>
          <w:rFonts w:ascii="Calibri" w:cs="Calibri" w:eastAsia="Calibri" w:hAnsi="Calibri"/>
          <w:i/>
          <w:iCs/>
          <w:color w:val="D99A3D"/>
          <w:sz w:val="24"/>
          <w:szCs w:val="24"/>
        </w:rPr>
        <w:t xml:space="preserve">Werkboek</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14 — Werkboek</w:t>
      </w:r>
    </w:p>
    <w:p>
      <w:pPr>
        <w:spacing w:after="180" w:line="300"/>
        <w:jc w:val="both"/>
      </w:pPr>
      <w:r>
        <w:rPr>
          <w:rFonts w:ascii="Calibri" w:cs="Calibri" w:eastAsia="Calibri" w:hAnsi="Calibri"/>
          <w:i/>
          <w:iCs/>
          <w:color w:val="1A1A1A"/>
          <w:sz w:val="21"/>
          <w:szCs w:val="21"/>
        </w:rPr>
        <w:t xml:space="preserve">Werk de opdrachten uit vóórdat je de uitwerking leest.</w:t>
      </w:r>
    </w:p>
    <w:p>
      <w:pPr>
        <w:pStyle w:val="Heading2"/>
        <w:spacing w:after="160" w:before="360"/>
      </w:pPr>
      <w:r>
        <w:rPr>
          <w:rFonts w:ascii="Calibri" w:cs="Calibri" w:eastAsia="Calibri" w:hAnsi="Calibri"/>
          <w:b/>
          <w:bCs/>
          <w:color w:val="2C5AA0"/>
          <w:sz w:val="26"/>
          <w:szCs w:val="26"/>
        </w:rPr>
        <w:t xml:space="preserve">Opdracht 14.1 — Kwantificeren of niet?</w:t>
      </w:r>
    </w:p>
    <w:p>
      <w:pPr>
        <w:spacing w:after="180" w:line="300"/>
        <w:jc w:val="both"/>
      </w:pPr>
      <w:r>
        <w:rPr>
          <w:rFonts w:ascii="Calibri" w:cs="Calibri" w:eastAsia="Calibri" w:hAnsi="Calibri"/>
          <w:color w:val="1A1A1A"/>
          <w:sz w:val="21"/>
          <w:szCs w:val="21"/>
        </w:rPr>
        <w:t xml:space="preserve">Voor elk van de volgende situaties: voldoet dit aan minstens twee van de vier voorwaarden uit paragraaf 14.1 om te kwantificeren? Onderbouw.</w:t>
      </w:r>
    </w:p>
    <w:p>
      <w:pPr>
        <w:spacing w:after="180" w:line="300"/>
        <w:jc w:val="both"/>
      </w:pPr>
      <w:r>
        <w:rPr>
          <w:rFonts w:ascii="Calibri" w:cs="Calibri" w:eastAsia="Calibri" w:hAnsi="Calibri"/>
          <w:color w:val="1A1A1A"/>
          <w:sz w:val="21"/>
          <w:szCs w:val="21"/>
        </w:rPr>
        <w:t xml:space="preserve">a) Een risico met een geschat gevolg van €2.000, waarvoor twee opties bestaan die nauwelijks van elkaar verschillen.</w:t>
      </w:r>
    </w:p>
    <w:p>
      <w:pPr>
        <w:spacing w:after="180" w:line="300"/>
        <w:jc w:val="both"/>
      </w:pPr>
      <w:r>
        <w:rPr>
          <w:rFonts w:ascii="Calibri" w:cs="Calibri" w:eastAsia="Calibri" w:hAnsi="Calibri"/>
          <w:color w:val="1A1A1A"/>
          <w:sz w:val="21"/>
          <w:szCs w:val="21"/>
        </w:rPr>
        <w:t xml:space="preserve">b) Een keuze tussen twee leveranciers voor een kritiek onderdeel van het programma, met een verschil van mogelijk €400.000 in verwachte meerkosten, gebaseerd op vergelijkbare eerdere projecten.</w:t>
      </w:r>
    </w:p>
    <w:p>
      <w:pPr>
        <w:spacing w:after="180" w:line="300"/>
        <w:jc w:val="both"/>
      </w:pPr>
      <w:r>
        <w:rPr>
          <w:rFonts w:ascii="Calibri" w:cs="Calibri" w:eastAsia="Calibri" w:hAnsi="Calibri"/>
          <w:color w:val="1A1A1A"/>
          <w:sz w:val="21"/>
          <w:szCs w:val="21"/>
        </w:rPr>
        <w:t xml:space="preserve">c) Een nieuw risico waarvoor nog geen enkele data of ervaring beschikbaar is, en waarover niemand in de organisatie een onderbouwde inschatting kan geven.</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a) Niet kwantificeren. Beperkte financiële impact, nauwelijks verschillende opties — kwalitatieve inschatting (laag/midden/hoog) volstaat en is proportioneel.
b) Wel kwantificeren. Materiële financiële gevolgen, twee wezenlijk verschillende opties, voldoende vergelijkbare data beschikbaar — dit is een schoolvoorbeeld van waar EMV waarde toevoegt.
c) Niet kwantificeren, ondanks mogelijk hoge impact. Zonder enige onderbouwde inschatting zou kwantificeren schijnprecisie opleveren (Kernzin 9) — hier is eerst meer informatie verzamelen (terug naar het onderscheid risico/onzekerheid uit deel 1, niveau 1) de juiste eerste stap, niet rekenen.
Wat je hier moet meenemen: c is de belangrijkste valkuil van dit deel — hoge impact voelt als een reden om te kwantificeren, maar zonder basisdata levert dat alleen schijnzekerheid op. Impact alleen is niet voldoende; er moet ook voldoende bruikbare data zijn.</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14.2 — Bereken de EMV</w:t>
      </w:r>
    </w:p>
    <w:p>
      <w:pPr>
        <w:spacing w:after="180" w:line="300"/>
        <w:jc w:val="both"/>
      </w:pPr>
      <w:r>
        <w:rPr>
          <w:rFonts w:ascii="Calibri" w:cs="Calibri" w:eastAsia="Calibri" w:hAnsi="Calibri"/>
          <w:color w:val="1A1A1A"/>
          <w:sz w:val="21"/>
          <w:szCs w:val="21"/>
        </w:rPr>
        <w:t xml:space="preserve">Een programma overweegt een tijdelijke, dure noodoplossing (kosten zeker €120.000) versus afwachten met een risico op verdere vertraging (30 procent kans op €500.000 aan cumulatieve programmakosten, 70 procent kans op €0 als het vanzelf goed komt). Bereken de EMV van beide opties en adviseer.</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Noodoplossing: zeker €120.000, dus EMV = −€120.000 (kans 100%, geen onzekerheid).
Afwachten: EMV = (0,3 × −€500.000) + (0,7 × €0) = −€150.000.
Advies op basis van EMV alleen: de noodoplossing (−€120.000) is gunstiger dan afwachten (−€150.000).
Wat je hier moet meenemen: dit is een directe toepassing van de logica uit paragraaf 14.2 — merk op dat een zekere, kleinere kostenpost een grotere maar onzekere kostenpost kan verslaan in EMV-termen, ook al ‘voelt’ €120.000 zeker uitgeven onaangenamer dan een kans van 70% op niets betalen. Dit spanningsveld tussen EMV-uitkomst en risicohouding (durf je de gok te nemen, of kies je voor zekerheid?) is precies waarom EMV een input is, geen automatisch besluit — koppel dit terug aan de risicobereidheid uit deel 12: een organisatie met een lage risicobereidheid kan bewust kiezen voor de duurdere, zekere optie, ook als de EMV daar niet voor pleit.</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14.3 — Beslisboom uitbreiden</w:t>
      </w:r>
    </w:p>
    <w:p>
      <w:pPr>
        <w:spacing w:after="180" w:line="300"/>
        <w:jc w:val="both"/>
      </w:pPr>
      <w:r>
        <w:rPr>
          <w:rFonts w:ascii="Calibri" w:cs="Calibri" w:eastAsia="Calibri" w:hAnsi="Calibri"/>
          <w:color w:val="1A1A1A"/>
          <w:sz w:val="21"/>
          <w:szCs w:val="21"/>
        </w:rPr>
        <w:t xml:space="preserve">Neem de EMV-berekening uit opdracht 14.2. Stel dat er bij ‘afwachten’ een aanvullende onzekerheid is: als het misgaat (de 30%-tak), is er 50% kans dat de kosten beperkt blijven tot €500.000, en 50% kans dat ze oplopen tot €900.000 door een cascade-effect. Bereken de nieuwe EMV voor ‘afwachten’ met deze extra vertakking, en vergelijk opnieuw met de noodoplossing.</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Nieuwe berekening voor de misgaan-tak (30%): binnen die tak, 50% kans op −€500.000 en 50% kans op −€900.000.
Verwachte waarde binnen de misgaan-tak: (0,5 × −€500.000) + (0,5 × −€900.000) = −€700.000
Totale EMV voor ‘afwachten’: (0,3 × −€700.000) + (0,7 × €0) = −€210.000
Vergelijking: de noodoplossing (−€120.000) is nu nog duidelijker de gunstigere optie dan bij de eerste, simpelere berekening (−€150.000 werd −€210.000).
Wat je hier moet meenemen: dit illustreert precies het punt uit paragraaf 14.3 — een beslisboom met een extra vertakking kan de uitkomst van een beslissing wezenlijk verschuiven. Zonder deze verdieping zou het verschil tussen de twee opties kleiner hebben geleken dan het in werkelijkheid is.</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Opdracht 14.4 — PERT-formule toepassen</w:t>
      </w:r>
    </w:p>
    <w:p>
      <w:pPr>
        <w:spacing w:after="180" w:line="300"/>
        <w:jc w:val="both"/>
      </w:pPr>
      <w:r>
        <w:rPr>
          <w:rFonts w:ascii="Calibri" w:cs="Calibri" w:eastAsia="Calibri" w:hAnsi="Calibri"/>
          <w:color w:val="1A1A1A"/>
          <w:sz w:val="21"/>
          <w:szCs w:val="21"/>
        </w:rPr>
        <w:t xml:space="preserve">Een projectonderdeel wordt geschat op: optimistisch 2 weken, meest waarschijnlijk 3 weken, pessimistisch 9 weken. Bereken de PERT-verwachte waarde en reflecteer: wat zegt de spreiding tussen optimistisch en pessimistisch over hoe je met deze schatting zou moeten omgaan?</w:t>
      </w:r>
    </w:p>
    <w:tbl>
      <w:tblPr>
        <w:tblW w:type="pct" w:w="100%"/>
        <w:tblBorders>
          <w:top w:val="single" w:color="1B2A4A" w:sz="2"/>
          <w:left w:val="single" w:color="1B2A4A" w:sz="2"/>
          <w:bottom w:val="single" w:color="1B2A4A" w:sz="2"/>
          <w:right w:val="single" w:color="1B2A4A" w:sz="2"/>
          <w:insideH w:val="none" w:color="FFFFFF" w:sz="0"/>
          <w:insideV w:val="none" w:color="FFFFFF" w:sz="0"/>
        </w:tblBorders>
      </w:tblPr>
      <w:tblGrid>
        <w:gridCol w:w="100"/>
      </w:tblGrid>
      <w:tr>
        <w:tc>
          <w:tcPr>
            <w:shd w:fill="E8E9EC" w:color="auto" w:val="clear"/>
            <w:tcMar>
              <w:top w:type="dxa" w:w="180"/>
              <w:left w:type="dxa" w:w="240"/>
              <w:bottom w:type="dxa" w:w="180"/>
              <w:right w:type="dxa" w:w="240"/>
            </w:tcMar>
          </w:tcPr>
          <w:p>
            <w:pPr>
              <w:spacing w:after="80"/>
            </w:pPr>
            <w:r>
              <w:rPr>
                <w:rFonts w:ascii="Calibri" w:cs="Calibri" w:eastAsia="Calibri" w:hAnsi="Calibri"/>
                <w:b/>
                <w:bCs/>
                <w:color w:val="1B2A4A"/>
                <w:sz w:val="20"/>
                <w:szCs w:val="20"/>
              </w:rPr>
              <w:t xml:space="preserve">Uitwerking</w:t>
            </w:r>
          </w:p>
          <w:p>
            <w:r>
              <w:rPr>
                <w:rFonts w:ascii="Calibri" w:cs="Calibri" w:eastAsia="Calibri" w:hAnsi="Calibri"/>
                <w:color w:val="1A1A1A"/>
                <w:sz w:val="20"/>
                <w:szCs w:val="20"/>
              </w:rPr>
              <w:t xml:space="preserve">Verwachte waarde = (2 + (4 × 3) + 9) / 6 = (2 + 12 + 9) / 6 = 23 / 6 ≈ 3,8 weken
Reflectie: de spreiding tussen optimistisch (2) en pessimistisch (9) is groot — een factor 4,5. Dat betekent dat een eenvoudige planning die uitgaat van ‘3 weken’ een aanzienlijk risico op forse overschrijding negeert. Bij zo'n grote spreiding is het raadzaam om, naast de verwachte waarde, ook expliciet te communiceren wat het pessimistische scenario zou betekenen voor de rest van de planning — en te overwegen of een aparte, verdiepende analyse (bijvoorbeeld Monte Carlo, deel 15) gerechtvaardigd is, gegeven hoe onzeker deze schatting is.
Veelgemaakte fout: de PERT-formule toepassen maar de uitkomst vervolgens weer als los, hard getal communiceren (‘3,8 weken’) zonder de onderliggende spreiding te vermelden — dat is precies dezelfde fout als een risicoscore communiceren zonder de context waarop hij is gebaseerd (Kernzin 2, niveau 1).</w:t>
            </w:r>
          </w:p>
        </w:tc>
      </w:tr>
    </w:tbl>
    <w:p>
      <w:pPr>
        <w:spacing w:after="180" w:line="300"/>
        <w:jc w:val="both"/>
      </w:pPr>
      <w:r>
        <w:rPr>
          <w:rFonts w:ascii="Calibri" w:cs="Calibri" w:eastAsia="Calibri" w:hAnsi="Calibri"/>
          <w:color w:val="1A1A1A"/>
          <w:sz w:val="21"/>
          <w:szCs w:val="21"/>
        </w:rPr>
        <w:t xml:space="preserve"/>
      </w:r>
    </w:p>
    <w:p>
      <w:pPr>
        <w:pStyle w:val="Heading2"/>
        <w:spacing w:after="160" w:before="360"/>
      </w:pPr>
      <w:r>
        <w:rPr>
          <w:rFonts w:ascii="Calibri" w:cs="Calibri" w:eastAsia="Calibri" w:hAnsi="Calibri"/>
          <w:b/>
          <w:bCs/>
          <w:color w:val="2C5AA0"/>
          <w:sz w:val="26"/>
          <w:szCs w:val="26"/>
        </w:rPr>
        <w:t xml:space="preserve">Zelftoets deel 14</w:t>
      </w:r>
    </w:p>
    <w:p>
      <w:pPr>
        <w:pStyle w:val="ListParagraph"/>
        <w:numPr>
          <w:ilvl w:val="0"/>
          <w:numId w:val="2"/>
        </w:numPr>
        <w:spacing w:after="100" w:line="280"/>
      </w:pPr>
      <w:r>
        <w:rPr>
          <w:rFonts w:ascii="Calibri" w:cs="Calibri" w:eastAsia="Calibri" w:hAnsi="Calibri"/>
          <w:color w:val="1A1A1A"/>
          <w:sz w:val="21"/>
          <w:szCs w:val="21"/>
        </w:rPr>
        <w:t xml:space="preserve">1. Noem de vier voorwaarden waaronder kwantificeren de moeite waard is.</w:t>
      </w:r>
    </w:p>
    <w:p>
      <w:pPr>
        <w:pStyle w:val="ListParagraph"/>
        <w:numPr>
          <w:ilvl w:val="0"/>
          <w:numId w:val="2"/>
        </w:numPr>
        <w:spacing w:after="100" w:line="280"/>
      </w:pPr>
      <w:r>
        <w:rPr>
          <w:rFonts w:ascii="Calibri" w:cs="Calibri" w:eastAsia="Calibri" w:hAnsi="Calibri"/>
          <w:color w:val="1A1A1A"/>
          <w:sz w:val="21"/>
          <w:szCs w:val="21"/>
        </w:rPr>
        <w:t xml:space="preserve">2. Geef de formule voor verwachtingswaarde (EMV) en pas hem toe op een eenvoudig voorbeeld.</w:t>
      </w:r>
    </w:p>
    <w:p>
      <w:pPr>
        <w:pStyle w:val="ListParagraph"/>
        <w:numPr>
          <w:ilvl w:val="0"/>
          <w:numId w:val="2"/>
        </w:numPr>
        <w:spacing w:after="100" w:line="280"/>
      </w:pPr>
      <w:r>
        <w:rPr>
          <w:rFonts w:ascii="Calibri" w:cs="Calibri" w:eastAsia="Calibri" w:hAnsi="Calibri"/>
          <w:color w:val="1A1A1A"/>
          <w:sz w:val="21"/>
          <w:szCs w:val="21"/>
        </w:rPr>
        <w:t xml:space="preserve">3. Wat toont een beslisboom dat een enkele EMV-berekening niet toont?</w:t>
      </w:r>
    </w:p>
    <w:p>
      <w:pPr>
        <w:pStyle w:val="ListParagraph"/>
        <w:numPr>
          <w:ilvl w:val="0"/>
          <w:numId w:val="2"/>
        </w:numPr>
        <w:spacing w:after="100" w:line="280"/>
      </w:pPr>
      <w:r>
        <w:rPr>
          <w:rFonts w:ascii="Calibri" w:cs="Calibri" w:eastAsia="Calibri" w:hAnsi="Calibri"/>
          <w:color w:val="1A1A1A"/>
          <w:sz w:val="21"/>
          <w:szCs w:val="21"/>
        </w:rPr>
        <w:t xml:space="preserve">4. Wat zijn de drie onderdelen van een drie-puntsschatting, en wat is de PERT-formule?</w:t>
      </w:r>
    </w:p>
    <w:p>
      <w:pPr>
        <w:pStyle w:val="ListParagraph"/>
        <w:numPr>
          <w:ilvl w:val="0"/>
          <w:numId w:val="2"/>
        </w:numPr>
        <w:spacing w:after="100" w:line="280"/>
      </w:pPr>
      <w:r>
        <w:rPr>
          <w:rFonts w:ascii="Calibri" w:cs="Calibri" w:eastAsia="Calibri" w:hAnsi="Calibri"/>
          <w:color w:val="1A1A1A"/>
          <w:sz w:val="21"/>
          <w:szCs w:val="21"/>
        </w:rPr>
        <w:t xml:space="preserve">5. Waarom ligt de PERT-verwachte waarde meestal niet precies op de ‘meest waarschijnlijke’ schatting?</w:t>
      </w:r>
    </w:p>
    <w:p>
      <w:pPr>
        <w:pStyle w:val="ListParagraph"/>
        <w:numPr>
          <w:ilvl w:val="0"/>
          <w:numId w:val="2"/>
        </w:numPr>
        <w:spacing w:after="100" w:line="280"/>
      </w:pPr>
      <w:r>
        <w:rPr>
          <w:rFonts w:ascii="Calibri" w:cs="Calibri" w:eastAsia="Calibri" w:hAnsi="Calibri"/>
          <w:color w:val="1A1A1A"/>
          <w:sz w:val="21"/>
          <w:szCs w:val="21"/>
        </w:rPr>
        <w:t xml:space="preserve">6. Wat is kernzin 9?</w:t>
      </w:r>
    </w:p>
    <w:p>
      <w:pPr>
        <w:pStyle w:val="ListParagraph"/>
        <w:numPr>
          <w:ilvl w:val="0"/>
          <w:numId w:val="2"/>
        </w:numPr>
        <w:spacing w:after="100" w:line="280"/>
      </w:pPr>
      <w:r>
        <w:rPr>
          <w:rFonts w:ascii="Calibri" w:cs="Calibri" w:eastAsia="Calibri" w:hAnsi="Calibri"/>
          <w:color w:val="1A1A1A"/>
          <w:sz w:val="21"/>
          <w:szCs w:val="21"/>
        </w:rPr>
        <w:t xml:space="preserve">7. Noem de drie waarschuwingen tegen overmatig of verkeerd kwantificeren.</w:t>
      </w:r>
    </w:p>
    <w:p>
      <w:pPr>
        <w:pStyle w:val="Heading2"/>
        <w:spacing w:after="160" w:before="360"/>
      </w:pPr>
      <w:r>
        <w:rPr>
          <w:rFonts w:ascii="Calibri" w:cs="Calibri" w:eastAsia="Calibri" w:hAnsi="Calibri"/>
          <w:b/>
          <w:bCs/>
          <w:color w:val="2C5AA0"/>
          <w:sz w:val="26"/>
          <w:szCs w:val="26"/>
        </w:rPr>
        <w:t xml:space="preserve">Antwoorden zelftoets</w:t>
      </w:r>
    </w:p>
    <w:p>
      <w:pPr>
        <w:spacing w:after="180" w:line="300"/>
        <w:jc w:val="both"/>
      </w:pPr>
      <w:r>
        <w:rPr>
          <w:rFonts w:ascii="Calibri" w:cs="Calibri" w:eastAsia="Calibri" w:hAnsi="Calibri"/>
          <w:color w:val="1A1A1A"/>
          <w:sz w:val="21"/>
          <w:szCs w:val="21"/>
        </w:rPr>
        <w:t xml:space="preserve">1. Materiële financiële of tijdgevolgen; meerdere wezenlijk verschillende opties; voldoende bruikbare data of expertkennis; een beslissing op hoog niveau waar brede banden onvoldoende houvast bieden.</w:t>
      </w:r>
    </w:p>
    <w:p>
      <w:pPr>
        <w:spacing w:after="180" w:line="300"/>
        <w:jc w:val="both"/>
      </w:pPr>
      <w:r>
        <w:rPr>
          <w:rFonts w:ascii="Calibri" w:cs="Calibri" w:eastAsia="Calibri" w:hAnsi="Calibri"/>
          <w:color w:val="1A1A1A"/>
          <w:sz w:val="21"/>
          <w:szCs w:val="21"/>
        </w:rPr>
        <w:t xml:space="preserve">2. EMV = som van (kans × gevolg) over alle mogelijke uitkomsten. Voorbeeld: 40% kans op −€800.000 en 60% kans op €0 geeft EMV = −€320.000.</w:t>
      </w:r>
    </w:p>
    <w:p>
      <w:pPr>
        <w:spacing w:after="180" w:line="300"/>
        <w:jc w:val="both"/>
      </w:pPr>
      <w:r>
        <w:rPr>
          <w:rFonts w:ascii="Calibri" w:cs="Calibri" w:eastAsia="Calibri" w:hAnsi="Calibri"/>
          <w:color w:val="1A1A1A"/>
          <w:sz w:val="21"/>
          <w:szCs w:val="21"/>
        </w:rPr>
        <w:t xml:space="preserve">3. Hoe gevoelig de uitkomst is voor onderliggende, opeenvolgende onzekerheden — een tweede vertakking kan de EMV van een optie wezenlijk verschuiven ten opzichte van een simpele, ongesplitste berekening.</w:t>
      </w:r>
    </w:p>
    <w:p>
      <w:pPr>
        <w:spacing w:after="180" w:line="300"/>
        <w:jc w:val="both"/>
      </w:pPr>
      <w:r>
        <w:rPr>
          <w:rFonts w:ascii="Calibri" w:cs="Calibri" w:eastAsia="Calibri" w:hAnsi="Calibri"/>
          <w:color w:val="1A1A1A"/>
          <w:sz w:val="21"/>
          <w:szCs w:val="21"/>
        </w:rPr>
        <w:t xml:space="preserve">4. Optimistisch (O), meest waarschijnlijk (M), pessimistisch (P). PERT-formule: (O + 4M + P) / 6.</w:t>
      </w:r>
    </w:p>
    <w:p>
      <w:pPr>
        <w:spacing w:after="180" w:line="300"/>
        <w:jc w:val="both"/>
      </w:pPr>
      <w:r>
        <w:rPr>
          <w:rFonts w:ascii="Calibri" w:cs="Calibri" w:eastAsia="Calibri" w:hAnsi="Calibri"/>
          <w:color w:val="1A1A1A"/>
          <w:sz w:val="21"/>
          <w:szCs w:val="21"/>
        </w:rPr>
        <w:t xml:space="preserve">5. Omdat de formule rekening houdt met asymmetrie tussen optimistisch en pessimistisch — als het pessimistische scenario verder van het meest waarschijnlijke ligt dan het optimistische, trekt dat de verwachte waarde omhoog (of omgekeerd).</w:t>
      </w:r>
    </w:p>
    <w:p>
      <w:pPr>
        <w:spacing w:after="180" w:line="300"/>
        <w:jc w:val="both"/>
      </w:pPr>
      <w:r>
        <w:rPr>
          <w:rFonts w:ascii="Calibri" w:cs="Calibri" w:eastAsia="Calibri" w:hAnsi="Calibri"/>
          <w:color w:val="1A1A1A"/>
          <w:sz w:val="21"/>
          <w:szCs w:val="21"/>
        </w:rPr>
        <w:t xml:space="preserve">6. Een kwantitatieve uitkomst is nooit beter dan de kwalitatieve schatting waarop ze is gebouwd — rekenen voegt precisie toe aan de vorm, niet aan de waarheid van de invoer.</w:t>
      </w:r>
    </w:p>
    <w:p>
      <w:pPr>
        <w:spacing w:after="180" w:line="300"/>
        <w:jc w:val="both"/>
      </w:pPr>
      <w:r>
        <w:rPr>
          <w:rFonts w:ascii="Calibri" w:cs="Calibri" w:eastAsia="Calibri" w:hAnsi="Calibri"/>
          <w:color w:val="1A1A1A"/>
          <w:sz w:val="21"/>
          <w:szCs w:val="21"/>
        </w:rPr>
        <w:t xml:space="preserve">7. Schijnprecisie in een indrukwekkender jasje (zwakke aannames verstopt achter een precies getal); disproportionele tijdsinvestering voor risico's die het niet rechtvaardigen; een getal dat een gesprek dichttimmert dat juist open moet blijven voor kwalitatieve factoren.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2026-08-16T23:36:15.360Z</dcterms:created>
  <dcterms:modified xsi:type="dcterms:W3CDTF">2026-08-16T23:36:15.361Z</dcterms:modified>
</cp:coreProperties>
</file>

<file path=docProps/custom.xml><?xml version="1.0" encoding="utf-8"?>
<Properties xmlns="http://schemas.openxmlformats.org/officeDocument/2006/custom-properties" xmlns:vt="http://schemas.openxmlformats.org/officeDocument/2006/docPropsVTypes"/>
</file>